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caps w:val="0"/>
          <w:color w:val="000000" w:themeColor="text1"/>
          <w:spacing w:val="0"/>
          <w:sz w:val="44"/>
          <w:szCs w:val="44"/>
          <w:shd w:val="clear" w:fill="FFFFFF"/>
          <w14:textFill>
            <w14:solidFill>
              <w14:schemeClr w14:val="tx1"/>
            </w14:solidFill>
          </w14:textFill>
        </w:rPr>
      </w:pPr>
      <w:r>
        <w:rPr>
          <w:rFonts w:hint="eastAsia" w:ascii="方正小标宋简体" w:hAnsi="方正小标宋简体" w:eastAsia="方正小标宋简体" w:cs="方正小标宋简体"/>
          <w:b w:val="0"/>
          <w:bCs/>
          <w:i w:val="0"/>
          <w:caps w:val="0"/>
          <w:color w:val="000000" w:themeColor="text1"/>
          <w:spacing w:val="0"/>
          <w:sz w:val="44"/>
          <w:szCs w:val="44"/>
          <w:shd w:val="clear" w:fill="FFFFFF"/>
          <w:lang w:val="en-US" w:eastAsia="zh-CN"/>
          <w14:textFill>
            <w14:solidFill>
              <w14:schemeClr w14:val="tx1"/>
            </w14:solidFill>
          </w14:textFill>
        </w:rPr>
        <w:t>宜春市供销合作社2020年</w:t>
      </w:r>
      <w:r>
        <w:rPr>
          <w:rFonts w:hint="eastAsia" w:ascii="方正小标宋简体" w:hAnsi="方正小标宋简体" w:eastAsia="方正小标宋简体" w:cs="方正小标宋简体"/>
          <w:b w:val="0"/>
          <w:bCs/>
          <w:i w:val="0"/>
          <w:caps w:val="0"/>
          <w:color w:val="000000" w:themeColor="text1"/>
          <w:spacing w:val="0"/>
          <w:sz w:val="44"/>
          <w:szCs w:val="44"/>
          <w:shd w:val="clear" w:fill="FFFFFF"/>
          <w14:textFill>
            <w14:solidFill>
              <w14:schemeClr w14:val="tx1"/>
            </w14:solidFill>
          </w14:textFill>
        </w:rPr>
        <w:t>政府信息公开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caps w:val="0"/>
          <w:color w:val="000000" w:themeColor="text1"/>
          <w:spacing w:val="0"/>
          <w:sz w:val="44"/>
          <w:szCs w:val="44"/>
          <w14:textFill>
            <w14:solidFill>
              <w14:schemeClr w14:val="tx1"/>
            </w14:solidFill>
          </w14:textFill>
        </w:rPr>
      </w:pPr>
      <w:bookmarkStart w:id="0" w:name="_GoBack"/>
      <w:bookmarkEnd w:id="0"/>
      <w:r>
        <w:rPr>
          <w:rFonts w:hint="eastAsia" w:ascii="方正小标宋简体" w:hAnsi="方正小标宋简体" w:eastAsia="方正小标宋简体" w:cs="方正小标宋简体"/>
          <w:b w:val="0"/>
          <w:bCs/>
          <w:i w:val="0"/>
          <w:caps w:val="0"/>
          <w:color w:val="000000" w:themeColor="text1"/>
          <w:spacing w:val="0"/>
          <w:sz w:val="44"/>
          <w:szCs w:val="44"/>
          <w:shd w:val="clear" w:fill="FFFFFF"/>
          <w14:textFill>
            <w14:solidFill>
              <w14:schemeClr w14:val="tx1"/>
            </w14:solidFill>
          </w14:textFill>
        </w:rPr>
        <w:t>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000000" w:themeColor="text1"/>
          <w:spacing w:val="0"/>
          <w:sz w:val="32"/>
          <w:szCs w:val="32"/>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微软雅黑" w:eastAsia="仿宋_GB2312" w:cs="仿宋_GB2312"/>
          <w:i w:val="0"/>
          <w:caps w:val="0"/>
          <w:color w:val="000000" w:themeColor="text1"/>
          <w:spacing w:val="0"/>
          <w:kern w:val="0"/>
          <w:sz w:val="32"/>
          <w:szCs w:val="32"/>
          <w:lang w:val="en-US" w:eastAsia="zh-CN" w:bidi="ar"/>
          <w14:textFill>
            <w14:solidFill>
              <w14:schemeClr w14:val="tx1"/>
            </w14:solidFill>
          </w14:textFill>
        </w:rPr>
      </w:pPr>
      <w:r>
        <w:rPr>
          <w:rFonts w:hint="eastAsia" w:ascii="仿宋_GB2312" w:hAnsi="微软雅黑" w:eastAsia="仿宋_GB2312" w:cs="仿宋_GB2312"/>
          <w:i w:val="0"/>
          <w:caps w:val="0"/>
          <w:color w:val="000000" w:themeColor="text1"/>
          <w:spacing w:val="0"/>
          <w:kern w:val="0"/>
          <w:sz w:val="32"/>
          <w:szCs w:val="32"/>
          <w:lang w:val="en-US" w:eastAsia="zh-CN" w:bidi="ar"/>
          <w14:textFill>
            <w14:solidFill>
              <w14:schemeClr w14:val="tx1"/>
            </w14:solidFill>
          </w14:textFill>
        </w:rPr>
        <w:t>本报告根据《中华人民共和国政府信息公开条例》（国务院令第711号，以下简称新《条例》）和《国务院办公厅政府信息与政务公开办公室关于政府信息公开工作年度报告有关事项的通知》（国办公开办函〔2019〕60号）要求，由宜春市供销合作社结合有关统计数据编制。本年度报告中所列数据的统计期限自2020年1月1日起至2020年12月31日止。全文包括总体情况、主动公开政府信息情况、收到和处理政府信息公开申请情况、政府信息公开行政复议、行政诉讼情况、存在的主要问题及改进情况、其他需要报告的事项。本年度报告的电子版可以从宜春市供销合作社门户网站（政府信息公开平台）下载。如对本报告有任何疑问，请与宜春市供销社秘书科联系（地址：宜春市袁州区宜阳大厦中座1130，电话：0795—3272028，邮编：366000）。</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pPr>
      <w:r>
        <w:rPr>
          <w:rFonts w:hint="eastAsia" w:ascii="黑体" w:hAnsi="黑体" w:eastAsia="黑体" w:cs="黑体"/>
          <w:b w:val="0"/>
          <w:bCs/>
          <w:i w:val="0"/>
          <w:caps w:val="0"/>
          <w:color w:val="000000" w:themeColor="text1"/>
          <w:spacing w:val="0"/>
          <w:sz w:val="32"/>
          <w:szCs w:val="32"/>
          <w:shd w:val="clear" w:fill="FFFFFF"/>
          <w:lang w:eastAsia="zh-CN"/>
          <w14:textFill>
            <w14:solidFill>
              <w14:schemeClr w14:val="tx1"/>
            </w14:solidFill>
          </w14:textFill>
        </w:rPr>
        <w:t>一、</w:t>
      </w:r>
      <w:r>
        <w:rPr>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总体情况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微软雅黑" w:eastAsia="仿宋_GB2312" w:cs="仿宋_GB2312"/>
          <w:i w:val="0"/>
          <w:caps w:val="0"/>
          <w:color w:val="000000" w:themeColor="text1"/>
          <w:spacing w:val="0"/>
          <w:kern w:val="0"/>
          <w:sz w:val="32"/>
          <w:szCs w:val="32"/>
          <w:lang w:val="en-US" w:eastAsia="zh-CN" w:bidi="ar"/>
          <w14:textFill>
            <w14:solidFill>
              <w14:schemeClr w14:val="tx1"/>
            </w14:solidFill>
          </w14:textFill>
        </w:rPr>
      </w:pPr>
      <w:r>
        <w:rPr>
          <w:rFonts w:hint="eastAsia" w:ascii="仿宋_GB2312" w:hAnsi="微软雅黑" w:eastAsia="仿宋_GB2312" w:cs="仿宋_GB2312"/>
          <w:i w:val="0"/>
          <w:caps w:val="0"/>
          <w:color w:val="000000" w:themeColor="text1"/>
          <w:spacing w:val="0"/>
          <w:kern w:val="0"/>
          <w:sz w:val="32"/>
          <w:szCs w:val="32"/>
          <w:lang w:val="en-US" w:eastAsia="zh-CN" w:bidi="ar"/>
          <w14:textFill>
            <w14:solidFill>
              <w14:schemeClr w14:val="tx1"/>
            </w14:solidFill>
          </w14:textFill>
        </w:rPr>
        <w:t>2020年度，宜春市供销合作社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结合自身工作实际，以推进政务信息公开规范化为重点，以抓好网站和政务信息公开平台更新为着力点，积极开展政务信息公开工作。</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t>主动公开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为切实推动政务信息公开，我社制定了《宜春市供销社2020年信息宣传工作考核办法（试行）》，进一步落实各有关科室工作责任，为切实抓好门户网站、政务信息公开平台内容更新提供了有力保障。我社</w:t>
      </w:r>
      <w:r>
        <w:rPr>
          <w:rFonts w:hint="eastAsia" w:ascii="仿宋_GB2312" w:hAnsi="仿宋_GB2312" w:eastAsia="仿宋_GB2312" w:cs="仿宋_GB2312"/>
          <w:color w:val="000000" w:themeColor="text1"/>
          <w:sz w:val="32"/>
          <w:szCs w:val="32"/>
          <w:lang w:eastAsia="zh-CN"/>
          <w14:textFill>
            <w14:solidFill>
              <w14:schemeClr w14:val="tx1"/>
            </w14:solidFill>
          </w14:textFill>
        </w:rPr>
        <w:t>按照有关要求，结合实际，参照共性目录清单对政务信息公开平台法定主动公开内容栏进行调整和完善，确保单位政务信息上传和更新符合有关要求。围绕完善我社概况等信息，进一步完善领导简历、科室职责等信息，并对部分栏目进行修改和增减。同时，将目录调整情况通报各科室，要求各科室对照调整后的政务信息公开平台目录，按照各栏目更新有关要求，及时报送相关信息，保障相关信息公开的实效性，确保信息更新及时、准确。</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2020年度，共更新和发布340条各类信息，本年度未收到“12345”市政府服务热线反馈工单，召开新闻发布会1次。</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t>依申请公开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根据单位实际情况，认真对照依申请公开工作有关要求，着力完善依申请公开工作制度，推动依申请公开工作规范化。2020年度未收到依申请公开事项。</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t>政府信息管理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进一步规范了信息发布程序，对拟公开的各类信息，建立和完善了信息审核发布制度，通过拟稿科室初审、秘书科审查、分管领导逐级把关的信息审核机制，从源头上保障了我社信息公开工作的规范化。</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t>平台建设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认真对照有关要求，抓好门户网站建设，对政务信息公开平台相关栏目进行调整和完善，根据网站监测报告等反馈的问题，进行及时的整改和改进，切实强化门户网站和政务信息公开平台维护和更新。</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t>监督保障</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我社对照有关要求，切实稳定和落实了一名班子成员分管政务信息公开工作，并落实责任到科室、到人员，安排一名秘书科工作人员具体从事，切实压实压紧了工作责任。认真抓好《宜春市供销社2020年信息宣传工作考核办法（试行）》落实，通过季度积分考核以及奖励等方式，让有关科室和工作人员了解做好政务信息公开工作的重要性，知晓各自工作与信息公开的关联性以及有关栏目公开的更新频率，进一步激发各科室干部职工做好信息公开工作的积极性。</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Fonts w:hint="eastAsia" w:ascii="黑体" w:hAnsi="黑体" w:eastAsia="黑体" w:cs="黑体"/>
          <w:b w:val="0"/>
          <w:bCs/>
          <w:i w:val="0"/>
          <w:caps w:val="0"/>
          <w:color w:val="000000" w:themeColor="text1"/>
          <w:spacing w:val="0"/>
          <w:sz w:val="32"/>
          <w:szCs w:val="32"/>
          <w:shd w:val="clear" w:fill="FFFFFF"/>
          <w:lang w:eastAsia="zh-CN"/>
          <w14:textFill>
            <w14:solidFill>
              <w14:schemeClr w14:val="tx1"/>
            </w14:solidFill>
          </w14:textFill>
        </w:rPr>
      </w:pPr>
      <w:r>
        <w:rPr>
          <w:rFonts w:hint="eastAsia" w:ascii="黑体" w:hAnsi="黑体" w:eastAsia="黑体" w:cs="黑体"/>
          <w:b w:val="0"/>
          <w:bCs/>
          <w:i w:val="0"/>
          <w:caps w:val="0"/>
          <w:color w:val="000000" w:themeColor="text1"/>
          <w:spacing w:val="0"/>
          <w:sz w:val="32"/>
          <w:szCs w:val="32"/>
          <w:shd w:val="clear" w:fill="FFFFFF"/>
          <w:lang w:eastAsia="zh-CN"/>
          <w14:textFill>
            <w14:solidFill>
              <w14:schemeClr w14:val="tx1"/>
            </w14:solidFill>
          </w14:textFill>
        </w:rPr>
        <w:t>二、主动公开政府信息情况</w:t>
      </w:r>
    </w:p>
    <w:tbl>
      <w:tblPr>
        <w:tblStyle w:val="3"/>
        <w:tblW w:w="84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2361"/>
        <w:gridCol w:w="202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361"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本年新制作数量</w:t>
            </w:r>
          </w:p>
        </w:tc>
        <w:tc>
          <w:tcPr>
            <w:tcW w:w="2025"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本年新公开数量</w:t>
            </w:r>
          </w:p>
        </w:tc>
        <w:tc>
          <w:tcPr>
            <w:tcW w:w="2295"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03" w:type="dxa"/>
            <w:shd w:val="clear" w:color="auto" w:fill="auto"/>
            <w:vAlign w:val="center"/>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规    章</w:t>
            </w:r>
          </w:p>
        </w:tc>
        <w:tc>
          <w:tcPr>
            <w:tcW w:w="2361"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95"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规范性文件</w:t>
            </w:r>
          </w:p>
        </w:tc>
        <w:tc>
          <w:tcPr>
            <w:tcW w:w="2361"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95"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361"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上一年项目数量</w:t>
            </w:r>
          </w:p>
        </w:tc>
        <w:tc>
          <w:tcPr>
            <w:tcW w:w="2025"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本年增/减</w:t>
            </w:r>
          </w:p>
        </w:tc>
        <w:tc>
          <w:tcPr>
            <w:tcW w:w="2295"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03"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行政许可</w:t>
            </w:r>
          </w:p>
        </w:tc>
        <w:tc>
          <w:tcPr>
            <w:tcW w:w="2361"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95"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其他对外管理服务事项</w:t>
            </w:r>
          </w:p>
        </w:tc>
        <w:tc>
          <w:tcPr>
            <w:tcW w:w="2361"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95"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361"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上一年项目数量</w:t>
            </w:r>
          </w:p>
        </w:tc>
        <w:tc>
          <w:tcPr>
            <w:tcW w:w="2025"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本年增/减</w:t>
            </w:r>
          </w:p>
        </w:tc>
        <w:tc>
          <w:tcPr>
            <w:tcW w:w="2295"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03"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行政处罚</w:t>
            </w:r>
          </w:p>
        </w:tc>
        <w:tc>
          <w:tcPr>
            <w:tcW w:w="2361"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95"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行政强制</w:t>
            </w:r>
          </w:p>
        </w:tc>
        <w:tc>
          <w:tcPr>
            <w:tcW w:w="2361"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95"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361"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上一年项目数量</w:t>
            </w:r>
          </w:p>
        </w:tc>
        <w:tc>
          <w:tcPr>
            <w:tcW w:w="4320" w:type="dxa"/>
            <w:gridSpan w:val="2"/>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03"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行政事业性收费</w:t>
            </w:r>
          </w:p>
        </w:tc>
        <w:tc>
          <w:tcPr>
            <w:tcW w:w="2361"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4320" w:type="dxa"/>
            <w:gridSpan w:val="2"/>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361"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采购项目数量</w:t>
            </w:r>
          </w:p>
        </w:tc>
        <w:tc>
          <w:tcPr>
            <w:tcW w:w="4320" w:type="dxa"/>
            <w:gridSpan w:val="2"/>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03"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政府集中采购</w:t>
            </w:r>
          </w:p>
        </w:tc>
        <w:tc>
          <w:tcPr>
            <w:tcW w:w="2361" w:type="dxa"/>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4320" w:type="dxa"/>
            <w:gridSpan w:val="2"/>
            <w:shd w:val="clear" w:color="auto" w:fill="auto"/>
            <w:vAlign w:val="center"/>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bl>
    <w:p>
      <w:pPr>
        <w:spacing w:line="540" w:lineRule="exact"/>
        <w:rPr>
          <w:rFonts w:ascii="仿宋_GB2312" w:hAnsi="仿宋" w:eastAsia="仿宋_GB2312" w:cs="仿宋"/>
          <w:b/>
          <w:color w:val="000000" w:themeColor="text1"/>
          <w:sz w:val="32"/>
          <w:szCs w:val="32"/>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Fonts w:hint="eastAsia" w:ascii="黑体" w:hAnsi="黑体" w:eastAsia="黑体" w:cs="黑体"/>
          <w:b w:val="0"/>
          <w:bCs/>
          <w:i w:val="0"/>
          <w:caps w:val="0"/>
          <w:color w:val="000000" w:themeColor="text1"/>
          <w:spacing w:val="0"/>
          <w:sz w:val="32"/>
          <w:szCs w:val="32"/>
          <w:shd w:val="clear" w:fill="FFFFFF"/>
          <w:lang w:eastAsia="zh-CN"/>
          <w14:textFill>
            <w14:solidFill>
              <w14:schemeClr w14:val="tx1"/>
            </w14:solidFill>
          </w14:textFill>
        </w:rPr>
      </w:pPr>
      <w:r>
        <w:rPr>
          <w:rFonts w:hint="eastAsia" w:ascii="黑体" w:hAnsi="黑体" w:eastAsia="黑体" w:cs="黑体"/>
          <w:b w:val="0"/>
          <w:bCs/>
          <w:i w:val="0"/>
          <w:caps w:val="0"/>
          <w:color w:val="000000" w:themeColor="text1"/>
          <w:spacing w:val="0"/>
          <w:sz w:val="32"/>
          <w:szCs w:val="32"/>
          <w:shd w:val="clear" w:fill="FFFFFF"/>
          <w:lang w:eastAsia="zh-CN"/>
          <w14:textFill>
            <w14:solidFill>
              <w14:schemeClr w14:val="tx1"/>
            </w14:solidFill>
          </w14:textFill>
        </w:rPr>
        <w:t>三、收到和处理政府信息公开申请情况</w:t>
      </w:r>
    </w:p>
    <w:tbl>
      <w:tblPr>
        <w:tblStyle w:val="3"/>
        <w:tblW w:w="9046" w:type="dxa"/>
        <w:tblInd w:w="-2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1"/>
        <w:gridCol w:w="1053"/>
        <w:gridCol w:w="1134"/>
        <w:gridCol w:w="972"/>
        <w:gridCol w:w="1080"/>
        <w:gridCol w:w="1110"/>
        <w:gridCol w:w="80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restart"/>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本列数据的勾稽关系为：第一项加第二项之和，等于第三项加第四项之和</w:t>
            </w:r>
          </w:p>
        </w:tc>
        <w:tc>
          <w:tcPr>
            <w:tcW w:w="6865" w:type="dxa"/>
            <w:gridSpan w:val="7"/>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p>
        </w:tc>
        <w:tc>
          <w:tcPr>
            <w:tcW w:w="1053" w:type="dxa"/>
            <w:vMerge w:val="restart"/>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自然人</w:t>
            </w:r>
          </w:p>
        </w:tc>
        <w:tc>
          <w:tcPr>
            <w:tcW w:w="5103" w:type="dxa"/>
            <w:gridSpan w:val="5"/>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法人或其他组织</w:t>
            </w:r>
          </w:p>
        </w:tc>
        <w:tc>
          <w:tcPr>
            <w:tcW w:w="709" w:type="dxa"/>
            <w:vMerge w:val="restart"/>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2181" w:type="dxa"/>
            <w:vMerge w:val="continue"/>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商业</w:t>
            </w:r>
          </w:p>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企业</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科研</w:t>
            </w:r>
          </w:p>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机构</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社会公益组织</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法律服务机构</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其他</w:t>
            </w:r>
          </w:p>
        </w:tc>
        <w:tc>
          <w:tcPr>
            <w:tcW w:w="709" w:type="dxa"/>
            <w:vMerge w:val="continue"/>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一</w:t>
            </w:r>
            <w:r>
              <w:rPr>
                <w:rFonts w:hint="eastAsia" w:ascii="仿宋" w:hAnsi="仿宋" w:eastAsia="仿宋" w:cs="仿宋"/>
                <w:color w:val="000000" w:themeColor="text1"/>
                <w:sz w:val="24"/>
                <w:szCs w:val="24"/>
                <w14:textFill>
                  <w14:solidFill>
                    <w14:schemeClr w14:val="tx1"/>
                  </w14:solidFill>
                </w14:textFill>
              </w:rPr>
              <w:t>、本年新收政府信息公开申请数量</w:t>
            </w:r>
          </w:p>
        </w:tc>
        <w:tc>
          <w:tcPr>
            <w:tcW w:w="1053" w:type="dxa"/>
            <w:shd w:val="clear" w:color="auto" w:fill="auto"/>
            <w:vAlign w:val="center"/>
          </w:tcPr>
          <w:p>
            <w:pPr>
              <w:spacing w:line="300" w:lineRule="exact"/>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34" w:type="dxa"/>
            <w:shd w:val="clear" w:color="auto" w:fill="auto"/>
            <w:vAlign w:val="center"/>
          </w:tcPr>
          <w:p>
            <w:pPr>
              <w:spacing w:line="300" w:lineRule="exact"/>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972" w:type="dxa"/>
            <w:shd w:val="clear" w:color="auto" w:fill="auto"/>
            <w:vAlign w:val="center"/>
          </w:tcPr>
          <w:p>
            <w:pPr>
              <w:spacing w:line="300" w:lineRule="exact"/>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二</w:t>
            </w:r>
            <w:r>
              <w:rPr>
                <w:rFonts w:hint="eastAsia" w:ascii="仿宋" w:hAnsi="仿宋" w:eastAsia="仿宋" w:cs="仿宋"/>
                <w:color w:val="000000" w:themeColor="text1"/>
                <w:sz w:val="24"/>
                <w:szCs w:val="24"/>
                <w14:textFill>
                  <w14:solidFill>
                    <w14:schemeClr w14:val="tx1"/>
                  </w14:solidFill>
                </w14:textFill>
              </w:rPr>
              <w:t>、上年结转政府信息公开申请数量</w:t>
            </w:r>
          </w:p>
        </w:tc>
        <w:tc>
          <w:tcPr>
            <w:tcW w:w="1053"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34"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restart"/>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三</w:t>
            </w:r>
            <w:r>
              <w:rPr>
                <w:rFonts w:hint="eastAsia" w:ascii="仿宋" w:hAnsi="仿宋" w:eastAsia="仿宋" w:cs="仿宋"/>
                <w:color w:val="000000" w:themeColor="text1"/>
                <w:sz w:val="24"/>
                <w:szCs w:val="24"/>
                <w14:textFill>
                  <w14:solidFill>
                    <w14:schemeClr w14:val="tx1"/>
                  </w14:solidFill>
                </w14:textFill>
              </w:rPr>
              <w:t>、本年度办理结果</w:t>
            </w:r>
          </w:p>
        </w:tc>
        <w:tc>
          <w:tcPr>
            <w:tcW w:w="2187" w:type="dxa"/>
            <w:gridSpan w:val="2"/>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（一）予以公开</w:t>
            </w:r>
          </w:p>
        </w:tc>
        <w:tc>
          <w:tcPr>
            <w:tcW w:w="972" w:type="dxa"/>
            <w:shd w:val="clear" w:color="auto" w:fill="auto"/>
            <w:vAlign w:val="center"/>
          </w:tcPr>
          <w:p>
            <w:pPr>
              <w:spacing w:line="300" w:lineRule="exact"/>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2187" w:type="dxa"/>
            <w:gridSpan w:val="2"/>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（二）部分公开（区分处理的，只记这一情形，不记其他情形）</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restart"/>
            <w:shd w:val="clear" w:color="auto" w:fill="auto"/>
            <w:vAlign w:val="center"/>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（三）不予公开</w:t>
            </w: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1.属于国家秘密</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tcPr>
          <w:p>
            <w:pPr>
              <w:spacing w:line="300" w:lineRule="exact"/>
              <w:jc w:val="center"/>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2.其他法律行政法规禁止公开</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tcPr>
          <w:p>
            <w:pPr>
              <w:spacing w:line="300" w:lineRule="exact"/>
              <w:jc w:val="center"/>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3.危及“三安全一稳定”</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tcPr>
          <w:p>
            <w:pPr>
              <w:spacing w:line="300" w:lineRule="exact"/>
              <w:jc w:val="center"/>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4.保护第三方合法权益</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5.属于三类内部事务信息</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6.属于四类过程性信息</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7.属于行政执法案卷</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8.属于行政查询事项</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restart"/>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（四）无法提供</w:t>
            </w: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1.本机关不掌握相关政府信息</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2.没有现成信息需要另行制作</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3.补正后申请内容仍不明确</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restart"/>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（五）不予处理</w:t>
            </w: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1.信访投诉举报类申请</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2.重复申请</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3.要求提供公开出版物</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4.无正当理由大量反复申请</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134"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5.要求行政机关确认或重新出具已获取信息</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2187" w:type="dxa"/>
            <w:gridSpan w:val="2"/>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（六）其他处理</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2187" w:type="dxa"/>
            <w:gridSpan w:val="2"/>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（七）总计</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gridSpan w:val="3"/>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四</w:t>
            </w:r>
            <w:r>
              <w:rPr>
                <w:rFonts w:hint="eastAsia" w:ascii="仿宋" w:hAnsi="仿宋" w:eastAsia="仿宋" w:cs="仿宋"/>
                <w:color w:val="000000" w:themeColor="text1"/>
                <w:sz w:val="24"/>
                <w:szCs w:val="24"/>
                <w14:textFill>
                  <w14:solidFill>
                    <w14:schemeClr w14:val="tx1"/>
                  </w14:solidFill>
                </w14:textFill>
              </w:rPr>
              <w:t>、结转下年度继续办理</w:t>
            </w:r>
          </w:p>
        </w:tc>
        <w:tc>
          <w:tcPr>
            <w:tcW w:w="972"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0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111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bl>
    <w:p>
      <w:pPr>
        <w:spacing w:line="540" w:lineRule="exact"/>
        <w:ind w:left="640"/>
        <w:rPr>
          <w:rFonts w:ascii="仿宋" w:hAnsi="仿宋" w:eastAsia="仿宋" w:cs="仿宋"/>
          <w:color w:val="000000" w:themeColor="text1"/>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Fonts w:hint="eastAsia" w:ascii="黑体" w:hAnsi="黑体" w:eastAsia="黑体" w:cs="黑体"/>
          <w:b w:val="0"/>
          <w:bCs/>
          <w:i w:val="0"/>
          <w:caps w:val="0"/>
          <w:color w:val="000000" w:themeColor="text1"/>
          <w:spacing w:val="0"/>
          <w:sz w:val="32"/>
          <w:szCs w:val="32"/>
          <w:shd w:val="clear" w:fill="FFFFFF"/>
          <w:lang w:eastAsia="zh-CN"/>
          <w14:textFill>
            <w14:solidFill>
              <w14:schemeClr w14:val="tx1"/>
            </w14:solidFill>
          </w14:textFill>
        </w:rPr>
      </w:pPr>
      <w:r>
        <w:rPr>
          <w:rFonts w:hint="eastAsia" w:ascii="黑体" w:hAnsi="黑体" w:eastAsia="黑体" w:cs="黑体"/>
          <w:b w:val="0"/>
          <w:bCs/>
          <w:i w:val="0"/>
          <w:caps w:val="0"/>
          <w:color w:val="000000" w:themeColor="text1"/>
          <w:spacing w:val="0"/>
          <w:sz w:val="32"/>
          <w:szCs w:val="32"/>
          <w:shd w:val="clear" w:fill="FFFFFF"/>
          <w:lang w:eastAsia="zh-CN"/>
          <w14:textFill>
            <w14:solidFill>
              <w14:schemeClr w14:val="tx1"/>
            </w14:solidFill>
          </w14:textFill>
        </w:rPr>
        <w:t>四、政府信息公开行政复议、行政诉讼情况</w:t>
      </w:r>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5"/>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行政复议</w:t>
            </w:r>
            <w:r>
              <w:rPr>
                <w:rFonts w:ascii="仿宋" w:hAnsi="仿宋" w:eastAsia="仿宋" w:cs="仿宋"/>
                <w:color w:val="000000" w:themeColor="text1"/>
                <w:sz w:val="24"/>
                <w14:textFill>
                  <w14:solidFill>
                    <w14:schemeClr w14:val="tx1"/>
                  </w14:solidFill>
                </w14:textFill>
              </w:rPr>
              <w:br w:type="textWrapping"/>
            </w:r>
            <w:r>
              <w:rPr>
                <w:rFonts w:hint="eastAsia" w:ascii="仿宋" w:hAnsi="仿宋" w:eastAsia="仿宋" w:cs="仿宋"/>
                <w:b/>
                <w:color w:val="000000" w:themeColor="text1"/>
                <w:sz w:val="24"/>
                <w14:textFill>
                  <w14:solidFill>
                    <w14:schemeClr w14:val="tx1"/>
                  </w14:solidFill>
                </w14:textFill>
              </w:rPr>
              <w:t>（因政府信息公开被行政复议）</w:t>
            </w:r>
          </w:p>
        </w:tc>
        <w:tc>
          <w:tcPr>
            <w:tcW w:w="5680" w:type="dxa"/>
            <w:gridSpan w:val="10"/>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行政诉讼</w:t>
            </w:r>
            <w:r>
              <w:rPr>
                <w:rFonts w:ascii="仿宋" w:hAnsi="仿宋" w:eastAsia="仿宋" w:cs="仿宋"/>
                <w:color w:val="000000" w:themeColor="text1"/>
                <w:sz w:val="24"/>
                <w14:textFill>
                  <w14:solidFill>
                    <w14:schemeClr w14:val="tx1"/>
                  </w14:solidFill>
                </w14:textFill>
              </w:rPr>
              <w:br w:type="textWrapping"/>
            </w:r>
            <w:r>
              <w:rPr>
                <w:rFonts w:hint="eastAsia" w:ascii="仿宋" w:hAnsi="仿宋" w:eastAsia="仿宋" w:cs="仿宋"/>
                <w:b/>
                <w:color w:val="000000" w:themeColor="text1"/>
                <w:sz w:val="24"/>
                <w14:textFill>
                  <w14:solidFill>
                    <w14:schemeClr w14:val="tx1"/>
                  </w14:solidFill>
                </w14:textFill>
              </w:rPr>
              <w:t>（因政府信息公开被行政诉讼）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restart"/>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结果维护</w:t>
            </w:r>
          </w:p>
        </w:tc>
        <w:tc>
          <w:tcPr>
            <w:tcW w:w="568" w:type="dxa"/>
            <w:vMerge w:val="restart"/>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结果纠正</w:t>
            </w:r>
          </w:p>
        </w:tc>
        <w:tc>
          <w:tcPr>
            <w:tcW w:w="568" w:type="dxa"/>
            <w:vMerge w:val="restart"/>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其他结果</w:t>
            </w:r>
          </w:p>
        </w:tc>
        <w:tc>
          <w:tcPr>
            <w:tcW w:w="568" w:type="dxa"/>
            <w:vMerge w:val="restart"/>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尚未审结</w:t>
            </w:r>
          </w:p>
        </w:tc>
        <w:tc>
          <w:tcPr>
            <w:tcW w:w="568" w:type="dxa"/>
            <w:vMerge w:val="restart"/>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总计</w:t>
            </w:r>
          </w:p>
        </w:tc>
        <w:tc>
          <w:tcPr>
            <w:tcW w:w="2840" w:type="dxa"/>
            <w:gridSpan w:val="5"/>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未经复议直接起诉</w:t>
            </w:r>
          </w:p>
        </w:tc>
        <w:tc>
          <w:tcPr>
            <w:tcW w:w="2840" w:type="dxa"/>
            <w:gridSpan w:val="5"/>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68" w:type="dxa"/>
            <w:vMerge w:val="continue"/>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p>
        </w:tc>
        <w:tc>
          <w:tcPr>
            <w:tcW w:w="568" w:type="dxa"/>
            <w:vMerge w:val="continue"/>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p>
        </w:tc>
        <w:tc>
          <w:tcPr>
            <w:tcW w:w="568" w:type="dxa"/>
            <w:vMerge w:val="continue"/>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p>
        </w:tc>
        <w:tc>
          <w:tcPr>
            <w:tcW w:w="568" w:type="dxa"/>
            <w:vMerge w:val="continue"/>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p>
        </w:tc>
        <w:tc>
          <w:tcPr>
            <w:tcW w:w="568" w:type="dxa"/>
            <w:vMerge w:val="continue"/>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p>
        </w:tc>
        <w:tc>
          <w:tcPr>
            <w:tcW w:w="568" w:type="dxa"/>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结果维护</w:t>
            </w:r>
          </w:p>
        </w:tc>
        <w:tc>
          <w:tcPr>
            <w:tcW w:w="568" w:type="dxa"/>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结果纠正</w:t>
            </w:r>
          </w:p>
        </w:tc>
        <w:tc>
          <w:tcPr>
            <w:tcW w:w="568" w:type="dxa"/>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其他结果</w:t>
            </w:r>
          </w:p>
        </w:tc>
        <w:tc>
          <w:tcPr>
            <w:tcW w:w="568" w:type="dxa"/>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尚未审结</w:t>
            </w:r>
          </w:p>
        </w:tc>
        <w:tc>
          <w:tcPr>
            <w:tcW w:w="568" w:type="dxa"/>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总计</w:t>
            </w:r>
          </w:p>
        </w:tc>
        <w:tc>
          <w:tcPr>
            <w:tcW w:w="568" w:type="dxa"/>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结果维护</w:t>
            </w:r>
          </w:p>
        </w:tc>
        <w:tc>
          <w:tcPr>
            <w:tcW w:w="568" w:type="dxa"/>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结果纠正</w:t>
            </w:r>
          </w:p>
        </w:tc>
        <w:tc>
          <w:tcPr>
            <w:tcW w:w="568" w:type="dxa"/>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其他结果</w:t>
            </w:r>
          </w:p>
        </w:tc>
        <w:tc>
          <w:tcPr>
            <w:tcW w:w="568" w:type="dxa"/>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尚未审结</w:t>
            </w:r>
          </w:p>
        </w:tc>
        <w:tc>
          <w:tcPr>
            <w:tcW w:w="568" w:type="dxa"/>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default"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c>
          <w:tcPr>
            <w:tcW w:w="568" w:type="dxa"/>
            <w:shd w:val="clear" w:color="auto" w:fill="auto"/>
            <w:vAlign w:val="center"/>
          </w:tcPr>
          <w:p>
            <w:pPr>
              <w:spacing w:line="54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黑体" w:hAnsi="黑体" w:eastAsia="黑体" w:cs="黑体"/>
          <w:b w:val="0"/>
          <w:bCs/>
          <w:i w:val="0"/>
          <w:caps w:val="0"/>
          <w:color w:val="000000" w:themeColor="text1"/>
          <w:spacing w:val="0"/>
          <w:sz w:val="32"/>
          <w:szCs w:val="32"/>
          <w14:textFill>
            <w14:solidFill>
              <w14:schemeClr w14:val="tx1"/>
            </w14:solidFill>
          </w14:textFill>
        </w:rPr>
      </w:pPr>
      <w:r>
        <w:rPr>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2020年，我社政务信息公开工作取得了一定成绩，但也还存在一些问题：</w:t>
      </w:r>
      <w:r>
        <w:rPr>
          <w:rFonts w:hint="eastAsia" w:ascii="仿宋_GB2312" w:hAnsi="仿宋_GB2312" w:eastAsia="仿宋_GB2312" w:cs="仿宋_GB2312"/>
          <w:color w:val="000000" w:themeColor="text1"/>
          <w:sz w:val="32"/>
          <w:szCs w:val="32"/>
          <w:lang w:eastAsia="zh-CN"/>
          <w14:textFill>
            <w14:solidFill>
              <w14:schemeClr w14:val="tx1"/>
            </w14:solidFill>
          </w14:textFill>
        </w:rPr>
        <w:t>一是政务信息公开工作的规范化还有待进一步提高，相关制度还有待进一步完善，信息更新还不够主动和及时。二是受人员编制数限制，从事信息公开具体工作的人员较少，有关科室协调配合有待强化，信息公开工作力度还需加强。三是</w:t>
      </w:r>
      <w:r>
        <w:rPr>
          <w:rFonts w:hint="eastAsia" w:ascii="仿宋_GB2312" w:eastAsia="仿宋_GB2312"/>
          <w:color w:val="000000" w:themeColor="text1"/>
          <w:sz w:val="32"/>
          <w:szCs w:val="32"/>
          <w14:textFill>
            <w14:solidFill>
              <w14:schemeClr w14:val="tx1"/>
            </w14:solidFill>
          </w14:textFill>
        </w:rPr>
        <w:t>受资金和技术</w:t>
      </w:r>
      <w:r>
        <w:rPr>
          <w:rFonts w:hint="eastAsia" w:ascii="仿宋_GB2312" w:eastAsia="仿宋_GB2312"/>
          <w:color w:val="000000" w:themeColor="text1"/>
          <w:sz w:val="32"/>
          <w:szCs w:val="32"/>
          <w:lang w:eastAsia="zh-CN"/>
          <w14:textFill>
            <w14:solidFill>
              <w14:schemeClr w14:val="tx1"/>
            </w14:solidFill>
          </w14:textFill>
        </w:rPr>
        <w:t>等因素影响</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政务</w:t>
      </w:r>
      <w:r>
        <w:rPr>
          <w:rFonts w:hint="eastAsia" w:ascii="仿宋_GB2312" w:eastAsia="仿宋_GB2312"/>
          <w:color w:val="000000" w:themeColor="text1"/>
          <w:sz w:val="32"/>
          <w:szCs w:val="32"/>
          <w14:textFill>
            <w14:solidFill>
              <w14:schemeClr w14:val="tx1"/>
            </w14:solidFill>
          </w14:textFill>
        </w:rPr>
        <w:t>信息公开载体和形式</w:t>
      </w:r>
      <w:r>
        <w:rPr>
          <w:rFonts w:hint="eastAsia" w:ascii="仿宋_GB2312" w:eastAsia="仿宋_GB2312"/>
          <w:color w:val="000000" w:themeColor="text1"/>
          <w:sz w:val="32"/>
          <w:szCs w:val="32"/>
          <w:lang w:eastAsia="zh-CN"/>
          <w14:textFill>
            <w14:solidFill>
              <w14:schemeClr w14:val="tx1"/>
            </w14:solidFill>
          </w14:textFill>
        </w:rPr>
        <w:t>还</w:t>
      </w:r>
      <w:r>
        <w:rPr>
          <w:rFonts w:hint="eastAsia" w:ascii="仿宋_GB2312" w:eastAsia="仿宋_GB2312"/>
          <w:color w:val="000000" w:themeColor="text1"/>
          <w:sz w:val="32"/>
          <w:szCs w:val="32"/>
          <w14:textFill>
            <w14:solidFill>
              <w14:schemeClr w14:val="tx1"/>
            </w14:solidFill>
          </w14:textFill>
        </w:rPr>
        <w:t>不够丰富</w:t>
      </w:r>
      <w:r>
        <w:rPr>
          <w:rFonts w:hint="eastAsia" w:ascii="仿宋_GB2312" w:eastAsia="仿宋_GB2312"/>
          <w:color w:val="000000" w:themeColor="text1"/>
          <w:sz w:val="32"/>
          <w:szCs w:val="32"/>
          <w:lang w:eastAsia="zh-CN"/>
          <w14:textFill>
            <w14:solidFill>
              <w14:schemeClr w14:val="tx1"/>
            </w14:solidFill>
          </w14:textFill>
        </w:rPr>
        <w:t>，创新开展政务信息公开工作还不够多。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下一步，我社将认真贯彻落实《条例》精神，结合工作实际，持续深化政务信息工作。一是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进一步健全政务信息公开工作机制，进一步压实各科室政务信息公开工作责任，切实强化信息公开工作举措，以更大力度推动政务信息工作制度化和规范化。二是加强政务信息公开工作的培训教育，积极学习和借鉴先进地区和先进单位经验，助推干部职工更好的领会和贯彻《条例》精神，进一步提高我社政务信息公开工作质量和水平。三是结合我社实际，不断创新政务信息公开工作的方式和方法，不断丰富信息发布形式，更多地通过新闻发布会、图文讲解、视频音频等通俗易懂的形式创新开展政务信息公开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黑体" w:hAnsi="黑体" w:eastAsia="黑体" w:cs="黑体"/>
          <w:b w:val="0"/>
          <w:bCs/>
          <w:i w:val="0"/>
          <w:caps w:val="0"/>
          <w:color w:val="000000" w:themeColor="text1"/>
          <w:spacing w:val="0"/>
          <w:sz w:val="32"/>
          <w:szCs w:val="32"/>
          <w14:textFill>
            <w14:solidFill>
              <w14:schemeClr w14:val="tx1"/>
            </w14:solidFill>
          </w14:textFill>
        </w:rPr>
      </w:pPr>
      <w:r>
        <w:rPr>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六、其他需要报告的事项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无其他需报告的事项。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8F45C3"/>
    <w:multiLevelType w:val="singleLevel"/>
    <w:tmpl w:val="128F45C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1F5430"/>
    <w:rsid w:val="072F4BA5"/>
    <w:rsid w:val="074812DF"/>
    <w:rsid w:val="0AA56684"/>
    <w:rsid w:val="0B410C37"/>
    <w:rsid w:val="0F42566A"/>
    <w:rsid w:val="0FE32618"/>
    <w:rsid w:val="17534F7D"/>
    <w:rsid w:val="17693517"/>
    <w:rsid w:val="1B931963"/>
    <w:rsid w:val="23B06487"/>
    <w:rsid w:val="2480713E"/>
    <w:rsid w:val="24C21507"/>
    <w:rsid w:val="30C16F99"/>
    <w:rsid w:val="402652C9"/>
    <w:rsid w:val="519D4381"/>
    <w:rsid w:val="566E50F8"/>
    <w:rsid w:val="56857A37"/>
    <w:rsid w:val="5FCE6A83"/>
    <w:rsid w:val="60846B0E"/>
    <w:rsid w:val="63A472ED"/>
    <w:rsid w:val="6EB526D3"/>
    <w:rsid w:val="6EC41F3F"/>
    <w:rsid w:val="72513E98"/>
    <w:rsid w:val="73551D2E"/>
    <w:rsid w:val="7B440FF1"/>
    <w:rsid w:val="7B460CD2"/>
    <w:rsid w:val="7D7C7DE7"/>
    <w:rsid w:val="7EA456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qFormat/>
    <w:uiPriority w:val="0"/>
    <w:rPr>
      <w:color w:val="333333"/>
      <w:u w:val="none"/>
    </w:rPr>
  </w:style>
  <w:style w:type="character" w:styleId="6">
    <w:name w:val="Hyperlink"/>
    <w:basedOn w:val="4"/>
    <w:qFormat/>
    <w:uiPriority w:val="0"/>
    <w:rPr>
      <w:color w:val="333333"/>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153</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2021-01-07T01:14:00Z</dcterms:created>
  <dc:creator>Administrator</dc:creator>
  <cp:lastModifiedBy>sky</cp:lastModifiedBy>
  <cp:lastPrinted>2021-01-29T02:34:00Z</cp:lastPrinted>
  <dcterms:modified xsi:type="dcterms:W3CDTF">2021-04-29T09:25:11Z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1B9851B993ED4265BB4AB89DFF8BD105</vt:lpwstr>
  </property>
</Properties>
</file>