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Times New Roman" w:hAnsi="Times New Roman" w:eastAsia="黑体"/>
          <w:sz w:val="32"/>
          <w:szCs w:val="32"/>
        </w:rPr>
      </w:pPr>
      <w:r>
        <w:rPr>
          <w:rFonts w:ascii="Times New Roman" w:hAnsi="黑体" w:eastAsia="黑体"/>
          <w:sz w:val="32"/>
          <w:szCs w:val="32"/>
        </w:rPr>
        <w:t>附件</w:t>
      </w:r>
      <w:r>
        <w:rPr>
          <w:rFonts w:ascii="Times New Roman" w:hAnsi="Times New Roman" w:eastAsia="黑体"/>
          <w:sz w:val="32"/>
          <w:szCs w:val="32"/>
        </w:rPr>
        <w:t>1</w:t>
      </w:r>
    </w:p>
    <w:p>
      <w:pPr>
        <w:spacing w:line="560" w:lineRule="exact"/>
        <w:jc w:val="both"/>
        <w:rPr>
          <w:rFonts w:hint="eastAsia" w:ascii="方正小标宋简体" w:hAnsi="Times New Roman" w:eastAsia="方正小标宋简体"/>
          <w:sz w:val="42"/>
          <w:szCs w:val="42"/>
        </w:rPr>
      </w:pPr>
      <w:bookmarkStart w:id="0" w:name="_GoBack"/>
      <w:r>
        <w:rPr>
          <w:rFonts w:hint="eastAsia" w:ascii="方正小标宋简体" w:hAnsi="Times New Roman" w:eastAsia="方正小标宋简体"/>
          <w:sz w:val="42"/>
          <w:szCs w:val="42"/>
        </w:rPr>
        <w:t>衔接国务院、省政府取消的行政许可等事项目录</w:t>
      </w:r>
    </w:p>
    <w:bookmarkEnd w:id="0"/>
    <w:p>
      <w:pPr>
        <w:spacing w:line="560" w:lineRule="exact"/>
        <w:jc w:val="center"/>
        <w:rPr>
          <w:rFonts w:hint="eastAsia" w:ascii="楷体_GB2312" w:hAnsi="Times New Roman" w:eastAsia="楷体_GB2312"/>
          <w:sz w:val="32"/>
          <w:szCs w:val="32"/>
        </w:rPr>
      </w:pPr>
      <w:r>
        <w:rPr>
          <w:rFonts w:hint="eastAsia" w:ascii="楷体_GB2312" w:hAnsi="Times New Roman" w:eastAsia="楷体_GB2312"/>
          <w:sz w:val="32"/>
          <w:szCs w:val="32"/>
        </w:rPr>
        <w:t>（共</w:t>
      </w:r>
      <w:r>
        <w:rPr>
          <w:rFonts w:ascii="Times New Roman" w:hAnsi="Times New Roman" w:eastAsia="楷体_GB2312"/>
          <w:sz w:val="32"/>
          <w:szCs w:val="32"/>
        </w:rPr>
        <w:t>5</w:t>
      </w:r>
      <w:r>
        <w:rPr>
          <w:rFonts w:hint="eastAsia" w:ascii="楷体_GB2312" w:hAnsi="Times New Roman" w:eastAsia="楷体_GB2312"/>
          <w:sz w:val="32"/>
          <w:szCs w:val="32"/>
        </w:rPr>
        <w:t>项）</w:t>
      </w:r>
    </w:p>
    <w:tbl>
      <w:tblPr>
        <w:tblStyle w:val="3"/>
        <w:tblW w:w="90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956"/>
        <w:gridCol w:w="696"/>
        <w:gridCol w:w="1325"/>
        <w:gridCol w:w="669"/>
        <w:gridCol w:w="3806"/>
        <w:gridCol w:w="1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blHeader/>
          <w:jc w:val="center"/>
        </w:trPr>
        <w:tc>
          <w:tcPr>
            <w:tcW w:w="571" w:type="dxa"/>
            <w:noWrap w:val="0"/>
            <w:vAlign w:val="center"/>
          </w:tcPr>
          <w:p>
            <w:pPr>
              <w:widowControl/>
              <w:spacing w:line="240" w:lineRule="exact"/>
              <w:jc w:val="center"/>
              <w:rPr>
                <w:rFonts w:ascii="Times New Roman" w:hAnsi="Times New Roman" w:eastAsia="黑体"/>
                <w:color w:val="000000"/>
                <w:szCs w:val="21"/>
              </w:rPr>
            </w:pPr>
            <w:r>
              <w:rPr>
                <w:rFonts w:ascii="Times New Roman" w:hAnsi="黑体" w:eastAsia="黑体"/>
                <w:color w:val="000000"/>
                <w:szCs w:val="21"/>
              </w:rPr>
              <w:t>序号</w:t>
            </w:r>
          </w:p>
        </w:tc>
        <w:tc>
          <w:tcPr>
            <w:tcW w:w="956" w:type="dxa"/>
            <w:noWrap w:val="0"/>
            <w:vAlign w:val="center"/>
          </w:tcPr>
          <w:p>
            <w:pPr>
              <w:widowControl/>
              <w:spacing w:line="240" w:lineRule="exact"/>
              <w:jc w:val="center"/>
              <w:rPr>
                <w:rFonts w:hint="eastAsia" w:ascii="Times New Roman" w:hAnsi="黑体" w:eastAsia="黑体"/>
                <w:color w:val="000000"/>
                <w:szCs w:val="21"/>
              </w:rPr>
            </w:pPr>
            <w:r>
              <w:rPr>
                <w:rFonts w:ascii="Times New Roman" w:hAnsi="黑体" w:eastAsia="黑体"/>
                <w:color w:val="000000"/>
                <w:szCs w:val="21"/>
              </w:rPr>
              <w:t>项目</w:t>
            </w:r>
          </w:p>
          <w:p>
            <w:pPr>
              <w:widowControl/>
              <w:spacing w:line="240" w:lineRule="exact"/>
              <w:jc w:val="center"/>
              <w:rPr>
                <w:rFonts w:ascii="Times New Roman" w:hAnsi="Times New Roman" w:eastAsia="黑体"/>
                <w:color w:val="000000"/>
                <w:szCs w:val="21"/>
              </w:rPr>
            </w:pPr>
            <w:r>
              <w:rPr>
                <w:rFonts w:ascii="Times New Roman" w:hAnsi="黑体" w:eastAsia="黑体"/>
                <w:color w:val="000000"/>
                <w:szCs w:val="21"/>
              </w:rPr>
              <w:t>名称</w:t>
            </w:r>
          </w:p>
        </w:tc>
        <w:tc>
          <w:tcPr>
            <w:tcW w:w="696" w:type="dxa"/>
            <w:noWrap w:val="0"/>
            <w:vAlign w:val="center"/>
          </w:tcPr>
          <w:p>
            <w:pPr>
              <w:widowControl/>
              <w:spacing w:line="240" w:lineRule="exact"/>
              <w:jc w:val="center"/>
              <w:rPr>
                <w:rFonts w:ascii="Times New Roman" w:hAnsi="Times New Roman" w:eastAsia="黑体"/>
                <w:color w:val="000000"/>
                <w:szCs w:val="21"/>
              </w:rPr>
            </w:pPr>
            <w:r>
              <w:rPr>
                <w:rFonts w:ascii="Times New Roman" w:hAnsi="黑体" w:eastAsia="黑体"/>
                <w:color w:val="000000"/>
                <w:szCs w:val="21"/>
              </w:rPr>
              <w:t>审批部门</w:t>
            </w:r>
          </w:p>
        </w:tc>
        <w:tc>
          <w:tcPr>
            <w:tcW w:w="1325" w:type="dxa"/>
            <w:noWrap w:val="0"/>
            <w:vAlign w:val="center"/>
          </w:tcPr>
          <w:p>
            <w:pPr>
              <w:widowControl/>
              <w:spacing w:line="240" w:lineRule="exact"/>
              <w:jc w:val="center"/>
              <w:rPr>
                <w:rFonts w:ascii="Times New Roman" w:hAnsi="Times New Roman" w:eastAsia="黑体"/>
                <w:color w:val="000000"/>
                <w:szCs w:val="21"/>
              </w:rPr>
            </w:pPr>
            <w:r>
              <w:rPr>
                <w:rFonts w:ascii="Times New Roman" w:hAnsi="黑体" w:eastAsia="黑体"/>
                <w:color w:val="000000"/>
                <w:szCs w:val="21"/>
              </w:rPr>
              <w:t>设定依据</w:t>
            </w:r>
          </w:p>
        </w:tc>
        <w:tc>
          <w:tcPr>
            <w:tcW w:w="669" w:type="dxa"/>
            <w:noWrap w:val="0"/>
            <w:vAlign w:val="center"/>
          </w:tcPr>
          <w:p>
            <w:pPr>
              <w:widowControl/>
              <w:spacing w:line="240" w:lineRule="exact"/>
              <w:jc w:val="center"/>
              <w:rPr>
                <w:rFonts w:ascii="Times New Roman" w:hAnsi="Times New Roman" w:eastAsia="黑体"/>
                <w:color w:val="000000"/>
                <w:szCs w:val="21"/>
              </w:rPr>
            </w:pPr>
            <w:r>
              <w:rPr>
                <w:rFonts w:ascii="Times New Roman" w:hAnsi="黑体" w:eastAsia="黑体"/>
                <w:color w:val="000000"/>
                <w:szCs w:val="21"/>
              </w:rPr>
              <w:t>监管部门</w:t>
            </w:r>
          </w:p>
        </w:tc>
        <w:tc>
          <w:tcPr>
            <w:tcW w:w="3806" w:type="dxa"/>
            <w:noWrap w:val="0"/>
            <w:vAlign w:val="center"/>
          </w:tcPr>
          <w:p>
            <w:pPr>
              <w:widowControl/>
              <w:spacing w:line="240" w:lineRule="exact"/>
              <w:jc w:val="center"/>
              <w:rPr>
                <w:rFonts w:ascii="Times New Roman" w:hAnsi="Times New Roman" w:eastAsia="黑体"/>
                <w:color w:val="000000"/>
                <w:szCs w:val="21"/>
              </w:rPr>
            </w:pPr>
            <w:r>
              <w:rPr>
                <w:rFonts w:ascii="Times New Roman" w:hAnsi="黑体" w:eastAsia="黑体"/>
                <w:color w:val="000000"/>
                <w:szCs w:val="21"/>
              </w:rPr>
              <w:t>加强事中事后监管措施</w:t>
            </w:r>
          </w:p>
        </w:tc>
        <w:tc>
          <w:tcPr>
            <w:tcW w:w="1059" w:type="dxa"/>
            <w:noWrap w:val="0"/>
            <w:vAlign w:val="center"/>
          </w:tcPr>
          <w:p>
            <w:pPr>
              <w:widowControl/>
              <w:spacing w:line="240" w:lineRule="exact"/>
              <w:jc w:val="center"/>
              <w:rPr>
                <w:rFonts w:ascii="Times New Roman" w:hAnsi="Times New Roman" w:eastAsia="黑体"/>
                <w:color w:val="000000"/>
                <w:szCs w:val="21"/>
              </w:rPr>
            </w:pPr>
            <w:r>
              <w:rPr>
                <w:rFonts w:ascii="Times New Roman" w:hAnsi="黑体" w:eastAsia="黑体"/>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7" w:hRule="atLeast"/>
          <w:jc w:val="center"/>
        </w:trPr>
        <w:tc>
          <w:tcPr>
            <w:tcW w:w="571" w:type="dxa"/>
            <w:noWrap w:val="0"/>
            <w:vAlign w:val="center"/>
          </w:tcPr>
          <w:p>
            <w:pPr>
              <w:widowControl/>
              <w:spacing w:line="240" w:lineRule="exact"/>
              <w:jc w:val="center"/>
              <w:rPr>
                <w:rFonts w:ascii="Times New Roman" w:hAnsi="Times New Roman" w:eastAsia="仿宋_GB2312"/>
                <w:color w:val="000000"/>
                <w:sz w:val="22"/>
                <w:szCs w:val="32"/>
              </w:rPr>
            </w:pPr>
            <w:r>
              <w:rPr>
                <w:rFonts w:ascii="Times New Roman" w:hAnsi="Times New Roman" w:eastAsia="仿宋_GB2312"/>
                <w:color w:val="000000"/>
                <w:sz w:val="22"/>
                <w:szCs w:val="32"/>
              </w:rPr>
              <w:t>1</w:t>
            </w:r>
          </w:p>
        </w:tc>
        <w:tc>
          <w:tcPr>
            <w:tcW w:w="956" w:type="dxa"/>
            <w:noWrap w:val="0"/>
            <w:vAlign w:val="center"/>
          </w:tcPr>
          <w:p>
            <w:pPr>
              <w:widowControl/>
              <w:spacing w:line="240" w:lineRule="exact"/>
              <w:jc w:val="center"/>
              <w:rPr>
                <w:rFonts w:ascii="Times New Roman" w:hAnsi="Times New Roman" w:eastAsia="仿宋_GB2312"/>
                <w:color w:val="000000"/>
                <w:sz w:val="32"/>
              </w:rPr>
            </w:pPr>
            <w:r>
              <w:rPr>
                <w:rFonts w:ascii="Times New Roman" w:hAnsi="Times New Roman" w:eastAsia="仿宋_GB2312"/>
                <w:color w:val="000000"/>
                <w:sz w:val="20"/>
                <w:szCs w:val="20"/>
              </w:rPr>
              <w:t>台港澳人员在内地就业许可</w:t>
            </w:r>
          </w:p>
        </w:tc>
        <w:tc>
          <w:tcPr>
            <w:tcW w:w="696" w:type="dxa"/>
            <w:noWrap w:val="0"/>
            <w:vAlign w:val="center"/>
          </w:tcPr>
          <w:p>
            <w:pPr>
              <w:widowControl/>
              <w:spacing w:line="240" w:lineRule="exact"/>
              <w:jc w:val="center"/>
              <w:rPr>
                <w:rFonts w:ascii="Times New Roman" w:hAnsi="Times New Roman" w:eastAsia="仿宋_GB2312"/>
                <w:color w:val="000000"/>
                <w:sz w:val="32"/>
              </w:rPr>
            </w:pPr>
            <w:r>
              <w:rPr>
                <w:rFonts w:ascii="Times New Roman" w:hAnsi="Times New Roman" w:eastAsia="仿宋_GB2312"/>
                <w:color w:val="000000"/>
                <w:sz w:val="20"/>
                <w:szCs w:val="20"/>
              </w:rPr>
              <w:t>市人社局</w:t>
            </w:r>
          </w:p>
        </w:tc>
        <w:tc>
          <w:tcPr>
            <w:tcW w:w="1325" w:type="dxa"/>
            <w:noWrap w:val="0"/>
            <w:vAlign w:val="center"/>
          </w:tcPr>
          <w:p>
            <w:pPr>
              <w:widowControl/>
              <w:spacing w:line="240" w:lineRule="exact"/>
              <w:jc w:val="left"/>
              <w:rPr>
                <w:rFonts w:ascii="Times New Roman" w:hAnsi="Times New Roman" w:eastAsia="仿宋_GB2312"/>
                <w:color w:val="000000"/>
                <w:sz w:val="32"/>
              </w:rPr>
            </w:pPr>
            <w:r>
              <w:rPr>
                <w:rFonts w:ascii="Times New Roman" w:hAnsi="Times New Roman" w:eastAsia="仿宋_GB2312"/>
                <w:color w:val="000000"/>
                <w:sz w:val="20"/>
                <w:szCs w:val="20"/>
              </w:rPr>
              <w:t>《国务院对确需保留的行政审批项目设定行政许可的决定》（国务院令第412号）、《国务院关于第六批取消和调整行政审批项目的决定》（国发〔2012〕52号）</w:t>
            </w:r>
          </w:p>
        </w:tc>
        <w:tc>
          <w:tcPr>
            <w:tcW w:w="669" w:type="dxa"/>
            <w:noWrap w:val="0"/>
            <w:vAlign w:val="center"/>
          </w:tcPr>
          <w:p>
            <w:pPr>
              <w:widowControl/>
              <w:spacing w:line="240" w:lineRule="exact"/>
              <w:jc w:val="center"/>
              <w:rPr>
                <w:rFonts w:ascii="Times New Roman" w:hAnsi="Times New Roman" w:eastAsia="仿宋_GB2312"/>
                <w:color w:val="000000"/>
                <w:sz w:val="32"/>
              </w:rPr>
            </w:pPr>
            <w:r>
              <w:rPr>
                <w:rFonts w:ascii="Times New Roman" w:hAnsi="Times New Roman" w:eastAsia="仿宋_GB2312"/>
                <w:color w:val="000000"/>
                <w:sz w:val="20"/>
                <w:szCs w:val="20"/>
              </w:rPr>
              <w:t>市人社局</w:t>
            </w:r>
          </w:p>
        </w:tc>
        <w:tc>
          <w:tcPr>
            <w:tcW w:w="3806" w:type="dxa"/>
            <w:noWrap w:val="0"/>
            <w:vAlign w:val="center"/>
          </w:tcPr>
          <w:p>
            <w:pPr>
              <w:widowControl/>
              <w:spacing w:line="240" w:lineRule="exact"/>
              <w:jc w:val="left"/>
              <w:rPr>
                <w:rFonts w:ascii="Times New Roman" w:hAnsi="Times New Roman" w:eastAsia="仿宋_GB2312"/>
                <w:color w:val="000000"/>
                <w:sz w:val="20"/>
                <w:szCs w:val="20"/>
              </w:rPr>
            </w:pPr>
            <w:r>
              <w:rPr>
                <w:rFonts w:ascii="Times New Roman" w:hAnsi="Times New Roman" w:eastAsia="仿宋_GB2312"/>
                <w:color w:val="000000"/>
                <w:sz w:val="20"/>
                <w:szCs w:val="20"/>
              </w:rPr>
              <w:t>取消审批后，通过以下措施加强事中事后监管：</w:t>
            </w:r>
          </w:p>
          <w:p>
            <w:pPr>
              <w:widowControl/>
              <w:spacing w:line="240" w:lineRule="exact"/>
              <w:jc w:val="left"/>
              <w:rPr>
                <w:rFonts w:ascii="Times New Roman" w:hAnsi="Times New Roman" w:eastAsia="仿宋_GB2312"/>
                <w:color w:val="000000"/>
                <w:sz w:val="20"/>
                <w:szCs w:val="20"/>
              </w:rPr>
            </w:pPr>
            <w:r>
              <w:rPr>
                <w:rFonts w:ascii="Times New Roman" w:hAnsi="Times New Roman" w:eastAsia="仿宋_GB2312"/>
                <w:color w:val="000000"/>
                <w:sz w:val="20"/>
                <w:szCs w:val="20"/>
              </w:rPr>
              <w:t>1. 在内地(大陆)求职、就业的港澳台人员，可使用港澳台居民居住证、港澳居民来往内地通行证、台湾居民来往大陆通行证等有效身份证件办理人力资源社会保障各项业务。</w:t>
            </w:r>
          </w:p>
          <w:p>
            <w:pPr>
              <w:widowControl/>
              <w:spacing w:line="240" w:lineRule="exact"/>
              <w:jc w:val="left"/>
              <w:rPr>
                <w:rFonts w:ascii="Times New Roman" w:hAnsi="Times New Roman" w:eastAsia="仿宋_GB2312"/>
                <w:color w:val="000000"/>
                <w:sz w:val="20"/>
                <w:szCs w:val="20"/>
              </w:rPr>
            </w:pPr>
            <w:r>
              <w:rPr>
                <w:rFonts w:ascii="Times New Roman" w:hAnsi="Times New Roman" w:eastAsia="仿宋_GB2312"/>
                <w:color w:val="000000"/>
                <w:sz w:val="20"/>
                <w:szCs w:val="20"/>
              </w:rPr>
              <w:t>2. 在内地(大陆)求职、就业的港澳台人员，以工商营业执照、劳动合同(聘用合同)、工资支付凭证或社会保险缴费记录等作为其在内地(大陆)就业的证明材料。</w:t>
            </w:r>
          </w:p>
          <w:p>
            <w:pPr>
              <w:widowControl/>
              <w:spacing w:line="240" w:lineRule="exact"/>
              <w:jc w:val="left"/>
              <w:rPr>
                <w:rFonts w:ascii="Times New Roman" w:hAnsi="Times New Roman" w:eastAsia="仿宋_GB2312"/>
                <w:color w:val="000000"/>
                <w:sz w:val="20"/>
                <w:szCs w:val="20"/>
              </w:rPr>
            </w:pPr>
            <w:r>
              <w:rPr>
                <w:rFonts w:ascii="Times New Roman" w:hAnsi="Times New Roman" w:eastAsia="仿宋_GB2312"/>
                <w:color w:val="000000"/>
                <w:sz w:val="20"/>
                <w:szCs w:val="20"/>
              </w:rPr>
              <w:t>3. 人社部门将把港澳台人员纳入当地就业创业管理服务体系，参照内地(大陆)劳动者对其进行就业登记和失业登记，为有在内地(大陆)就业创业意愿的人员提供政策咨询、职业介绍、开业指导、创业孵化等服务。</w:t>
            </w:r>
          </w:p>
          <w:p>
            <w:pPr>
              <w:widowControl/>
              <w:spacing w:line="240" w:lineRule="exact"/>
              <w:jc w:val="left"/>
              <w:rPr>
                <w:rFonts w:ascii="Times New Roman" w:hAnsi="Times New Roman" w:eastAsia="仿宋_GB2312"/>
                <w:color w:val="000000"/>
                <w:sz w:val="20"/>
                <w:szCs w:val="20"/>
              </w:rPr>
            </w:pPr>
            <w:r>
              <w:rPr>
                <w:rFonts w:ascii="Times New Roman" w:hAnsi="Times New Roman" w:eastAsia="仿宋_GB2312"/>
                <w:color w:val="000000"/>
                <w:sz w:val="20"/>
                <w:szCs w:val="20"/>
              </w:rPr>
              <w:t>4. 在内地(大陆)就业的港澳台人员，依法享有各项劳动保障权益。与用人单位发生劳动人事争议或者合法劳动权益被侵害的，依照国家有关劳动人事争议处理</w:t>
            </w:r>
            <w:r>
              <w:rPr>
                <w:rFonts w:hint="eastAsia" w:ascii="Times New Roman" w:hAnsi="Times New Roman" w:eastAsia="仿宋_GB2312"/>
                <w:color w:val="000000"/>
                <w:sz w:val="20"/>
                <w:szCs w:val="20"/>
              </w:rPr>
              <w:t>、</w:t>
            </w:r>
            <w:r>
              <w:rPr>
                <w:rFonts w:ascii="Times New Roman" w:hAnsi="Times New Roman" w:eastAsia="仿宋_GB2312"/>
                <w:color w:val="000000"/>
                <w:sz w:val="20"/>
                <w:szCs w:val="20"/>
              </w:rPr>
              <w:t>劳动保障监察的规定处理。</w:t>
            </w:r>
          </w:p>
        </w:tc>
        <w:tc>
          <w:tcPr>
            <w:tcW w:w="1059" w:type="dxa"/>
            <w:noWrap w:val="0"/>
            <w:vAlign w:val="center"/>
          </w:tcPr>
          <w:p>
            <w:pPr>
              <w:widowControl/>
              <w:spacing w:line="240" w:lineRule="exact"/>
              <w:jc w:val="left"/>
              <w:rPr>
                <w:rFonts w:ascii="Times New Roman" w:hAnsi="Times New Roman" w:eastAsia="仿宋_GB2312"/>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7" w:hRule="atLeast"/>
          <w:jc w:val="center"/>
        </w:trPr>
        <w:tc>
          <w:tcPr>
            <w:tcW w:w="571" w:type="dxa"/>
            <w:noWrap w:val="0"/>
            <w:vAlign w:val="center"/>
          </w:tcPr>
          <w:p>
            <w:pPr>
              <w:widowControl/>
              <w:spacing w:line="240" w:lineRule="exact"/>
              <w:jc w:val="center"/>
              <w:rPr>
                <w:rFonts w:ascii="Times New Roman" w:hAnsi="Times New Roman" w:eastAsia="仿宋_GB2312"/>
                <w:color w:val="000000"/>
                <w:sz w:val="22"/>
                <w:szCs w:val="32"/>
              </w:rPr>
            </w:pPr>
            <w:r>
              <w:rPr>
                <w:rFonts w:ascii="Times New Roman" w:hAnsi="Times New Roman" w:eastAsia="仿宋_GB2312"/>
                <w:color w:val="000000"/>
                <w:sz w:val="22"/>
                <w:szCs w:val="32"/>
              </w:rPr>
              <w:t>2</w:t>
            </w:r>
          </w:p>
        </w:tc>
        <w:tc>
          <w:tcPr>
            <w:tcW w:w="956" w:type="dxa"/>
            <w:noWrap w:val="0"/>
            <w:vAlign w:val="center"/>
          </w:tcPr>
          <w:p>
            <w:pPr>
              <w:widowControl/>
              <w:adjustRightInd w:val="0"/>
              <w:spacing w:line="240" w:lineRule="exact"/>
              <w:jc w:val="center"/>
              <w:rPr>
                <w:rFonts w:ascii="Times New Roman" w:hAnsi="Times New Roman" w:eastAsia="仿宋_GB2312"/>
                <w:color w:val="000000"/>
                <w:sz w:val="32"/>
              </w:rPr>
            </w:pPr>
            <w:r>
              <w:rPr>
                <w:rFonts w:ascii="Times New Roman" w:hAnsi="Times New Roman" w:eastAsia="仿宋_GB2312"/>
                <w:color w:val="000000"/>
                <w:sz w:val="20"/>
                <w:szCs w:val="20"/>
              </w:rPr>
              <w:t>企业集团核准登记</w:t>
            </w:r>
          </w:p>
        </w:tc>
        <w:tc>
          <w:tcPr>
            <w:tcW w:w="696" w:type="dxa"/>
            <w:vMerge w:val="restart"/>
            <w:noWrap w:val="0"/>
            <w:vAlign w:val="center"/>
          </w:tcPr>
          <w:p>
            <w:pPr>
              <w:widowControl/>
              <w:spacing w:line="240" w:lineRule="exact"/>
              <w:jc w:val="center"/>
              <w:rPr>
                <w:rFonts w:ascii="Times New Roman" w:hAnsi="Times New Roman" w:eastAsia="仿宋_GB2312"/>
                <w:color w:val="000000"/>
                <w:sz w:val="32"/>
              </w:rPr>
            </w:pPr>
            <w:r>
              <w:rPr>
                <w:rFonts w:ascii="Times New Roman" w:hAnsi="Times New Roman" w:eastAsia="仿宋_GB2312"/>
                <w:color w:val="000000"/>
                <w:sz w:val="20"/>
                <w:szCs w:val="20"/>
              </w:rPr>
              <w:t>市行政审批局</w:t>
            </w:r>
          </w:p>
        </w:tc>
        <w:tc>
          <w:tcPr>
            <w:tcW w:w="1325" w:type="dxa"/>
            <w:noWrap w:val="0"/>
            <w:vAlign w:val="center"/>
          </w:tcPr>
          <w:p>
            <w:pPr>
              <w:widowControl/>
              <w:spacing w:line="240" w:lineRule="exact"/>
              <w:jc w:val="left"/>
              <w:rPr>
                <w:rFonts w:ascii="Times New Roman" w:hAnsi="Times New Roman" w:eastAsia="仿宋_GB2312"/>
                <w:color w:val="000000"/>
                <w:sz w:val="32"/>
              </w:rPr>
            </w:pPr>
            <w:r>
              <w:rPr>
                <w:rFonts w:ascii="Times New Roman" w:hAnsi="Times New Roman" w:eastAsia="仿宋_GB2312"/>
                <w:color w:val="000000"/>
                <w:sz w:val="20"/>
                <w:szCs w:val="20"/>
              </w:rPr>
              <w:t>《中华人民共和国企业法人登记管理条例》</w:t>
            </w:r>
          </w:p>
        </w:tc>
        <w:tc>
          <w:tcPr>
            <w:tcW w:w="669" w:type="dxa"/>
            <w:vMerge w:val="restart"/>
            <w:noWrap w:val="0"/>
            <w:vAlign w:val="center"/>
          </w:tcPr>
          <w:p>
            <w:pPr>
              <w:widowControl/>
              <w:spacing w:line="240" w:lineRule="exact"/>
              <w:jc w:val="center"/>
              <w:rPr>
                <w:rFonts w:ascii="Times New Roman" w:hAnsi="Times New Roman" w:eastAsia="仿宋_GB2312"/>
                <w:color w:val="000000"/>
                <w:sz w:val="32"/>
              </w:rPr>
            </w:pPr>
            <w:r>
              <w:rPr>
                <w:rFonts w:ascii="Times New Roman" w:hAnsi="Times New Roman" w:eastAsia="仿宋_GB2312"/>
                <w:color w:val="000000"/>
                <w:sz w:val="20"/>
                <w:szCs w:val="20"/>
              </w:rPr>
              <w:t>市市监局</w:t>
            </w:r>
          </w:p>
        </w:tc>
        <w:tc>
          <w:tcPr>
            <w:tcW w:w="3806" w:type="dxa"/>
            <w:vMerge w:val="restart"/>
            <w:noWrap w:val="0"/>
            <w:vAlign w:val="center"/>
          </w:tcPr>
          <w:p>
            <w:pPr>
              <w:widowControl/>
              <w:spacing w:line="240" w:lineRule="exact"/>
              <w:jc w:val="left"/>
              <w:rPr>
                <w:rFonts w:ascii="Times New Roman" w:hAnsi="Times New Roman" w:eastAsia="仿宋_GB2312"/>
                <w:color w:val="000000"/>
                <w:sz w:val="20"/>
                <w:szCs w:val="20"/>
              </w:rPr>
            </w:pPr>
            <w:r>
              <w:rPr>
                <w:rFonts w:ascii="Times New Roman" w:hAnsi="Times New Roman" w:eastAsia="仿宋_GB2312"/>
                <w:color w:val="000000"/>
                <w:sz w:val="20"/>
                <w:szCs w:val="20"/>
              </w:rPr>
              <w:t>取消审批后，通过以下措施加强事中事后监管：</w:t>
            </w:r>
          </w:p>
          <w:p>
            <w:pPr>
              <w:widowControl/>
              <w:spacing w:line="240" w:lineRule="exact"/>
              <w:jc w:val="left"/>
              <w:rPr>
                <w:rFonts w:ascii="Times New Roman" w:hAnsi="Times New Roman" w:eastAsia="仿宋_GB2312"/>
                <w:color w:val="000000"/>
                <w:sz w:val="20"/>
                <w:szCs w:val="20"/>
              </w:rPr>
            </w:pPr>
            <w:r>
              <w:rPr>
                <w:rFonts w:ascii="Times New Roman" w:hAnsi="Times New Roman" w:eastAsia="仿宋_GB2312"/>
                <w:color w:val="000000"/>
                <w:sz w:val="20"/>
                <w:szCs w:val="20"/>
              </w:rPr>
              <w:t>1. 由登记机关负责推送相关企业信息，实现及时更新、及时共享。营业执照作废通过企业信用信息公示系统发公告解决。</w:t>
            </w:r>
          </w:p>
          <w:p>
            <w:pPr>
              <w:widowControl/>
              <w:spacing w:line="240" w:lineRule="exact"/>
              <w:jc w:val="left"/>
              <w:rPr>
                <w:rFonts w:ascii="Times New Roman" w:hAnsi="Times New Roman" w:eastAsia="仿宋_GB2312"/>
                <w:color w:val="000000"/>
                <w:sz w:val="20"/>
                <w:szCs w:val="20"/>
              </w:rPr>
            </w:pPr>
            <w:r>
              <w:rPr>
                <w:rFonts w:ascii="Times New Roman" w:hAnsi="Times New Roman" w:eastAsia="仿宋_GB2312"/>
                <w:color w:val="000000"/>
                <w:sz w:val="20"/>
                <w:szCs w:val="20"/>
              </w:rPr>
              <w:t>2. 按照“一网归集、三方使用”的总体要求，扎实推进国家企业信用信息公示系统的全面应用、科学管理。</w:t>
            </w:r>
          </w:p>
          <w:p>
            <w:pPr>
              <w:widowControl/>
              <w:spacing w:line="240" w:lineRule="exact"/>
              <w:jc w:val="left"/>
              <w:rPr>
                <w:rFonts w:ascii="Times New Roman" w:hAnsi="Times New Roman" w:eastAsia="仿宋_GB2312"/>
                <w:color w:val="000000"/>
                <w:sz w:val="20"/>
                <w:szCs w:val="20"/>
              </w:rPr>
            </w:pPr>
            <w:r>
              <w:rPr>
                <w:rFonts w:ascii="Times New Roman" w:hAnsi="Times New Roman" w:eastAsia="仿宋_GB2312"/>
                <w:color w:val="000000"/>
                <w:sz w:val="20"/>
                <w:szCs w:val="20"/>
              </w:rPr>
              <w:t>3. 通过督促企业年报，培养企业的年报和主体责任意识，提升企业年报的主动性，推动社会诚信体系建设</w:t>
            </w:r>
          </w:p>
          <w:p>
            <w:pPr>
              <w:widowControl/>
              <w:spacing w:line="240" w:lineRule="exact"/>
              <w:jc w:val="left"/>
              <w:rPr>
                <w:rFonts w:ascii="Times New Roman" w:hAnsi="Times New Roman" w:eastAsia="仿宋_GB2312"/>
                <w:color w:val="000000"/>
                <w:sz w:val="20"/>
                <w:szCs w:val="20"/>
              </w:rPr>
            </w:pPr>
            <w:r>
              <w:rPr>
                <w:rFonts w:ascii="Times New Roman" w:hAnsi="Times New Roman" w:eastAsia="仿宋_GB2312"/>
                <w:color w:val="000000"/>
                <w:sz w:val="20"/>
                <w:szCs w:val="20"/>
              </w:rPr>
              <w:t>4. 按照《江西省发展改革委等38部门关于贯彻落实&lt;失信企业协同监管和联合惩戒合作备忘录&gt;的通知》（赣发改财金〔2016〕1031号）的要求，深度融合线上线下监管，严格落实联合惩戒备忘录，认真梳理各部门联合惩戒措施清单，依托公示系统健全联合惩戒的发起、实施与反馈机制，形成失信企业名单公示、市场准入限制、任职资格限制、实施信用监管、反馈惩戒信息的完整闭环，推动实现对违法失信行为的有效治理。</w:t>
            </w:r>
          </w:p>
        </w:tc>
        <w:tc>
          <w:tcPr>
            <w:tcW w:w="1059" w:type="dxa"/>
            <w:noWrap w:val="0"/>
            <w:vAlign w:val="center"/>
          </w:tcPr>
          <w:p>
            <w:pPr>
              <w:widowControl/>
              <w:spacing w:line="240" w:lineRule="exact"/>
              <w:jc w:val="left"/>
              <w:rPr>
                <w:rFonts w:ascii="Times New Roman" w:hAnsi="Times New Roman" w:eastAsia="仿宋_GB2312"/>
                <w:color w:val="000000"/>
                <w:sz w:val="20"/>
                <w:szCs w:val="20"/>
              </w:rPr>
            </w:pPr>
            <w:r>
              <w:rPr>
                <w:rFonts w:ascii="Times New Roman" w:hAnsi="Times New Roman" w:eastAsia="仿宋_GB2312"/>
                <w:color w:val="000000"/>
                <w:sz w:val="20"/>
                <w:szCs w:val="20"/>
              </w:rPr>
              <w:t>将“企业、企业集团核准登记”调整为“企业核准登记”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3" w:hRule="atLeast"/>
          <w:jc w:val="center"/>
        </w:trPr>
        <w:tc>
          <w:tcPr>
            <w:tcW w:w="571" w:type="dxa"/>
            <w:noWrap w:val="0"/>
            <w:vAlign w:val="center"/>
          </w:tcPr>
          <w:p>
            <w:pPr>
              <w:widowControl/>
              <w:spacing w:line="240" w:lineRule="exact"/>
              <w:jc w:val="center"/>
              <w:rPr>
                <w:rFonts w:ascii="Times New Roman" w:hAnsi="Times New Roman" w:eastAsia="仿宋_GB2312"/>
                <w:color w:val="000000"/>
                <w:sz w:val="22"/>
                <w:szCs w:val="32"/>
              </w:rPr>
            </w:pPr>
            <w:r>
              <w:rPr>
                <w:rFonts w:ascii="Times New Roman" w:hAnsi="Times New Roman" w:eastAsia="仿宋_GB2312"/>
                <w:color w:val="000000"/>
                <w:sz w:val="22"/>
                <w:szCs w:val="32"/>
              </w:rPr>
              <w:t>3</w:t>
            </w:r>
          </w:p>
        </w:tc>
        <w:tc>
          <w:tcPr>
            <w:tcW w:w="956" w:type="dxa"/>
            <w:tcBorders>
              <w:top w:val="single" w:color="auto" w:sz="6" w:space="0"/>
              <w:left w:val="nil"/>
              <w:bottom w:val="single" w:color="auto" w:sz="6" w:space="0"/>
              <w:right w:val="single" w:color="auto" w:sz="6" w:space="0"/>
            </w:tcBorders>
            <w:noWrap w:val="0"/>
            <w:vAlign w:val="center"/>
          </w:tcPr>
          <w:p>
            <w:pPr>
              <w:adjustRightInd w:val="0"/>
              <w:spacing w:line="24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设立分公司备案</w:t>
            </w:r>
          </w:p>
        </w:tc>
        <w:tc>
          <w:tcPr>
            <w:tcW w:w="696" w:type="dxa"/>
            <w:vMerge w:val="continue"/>
            <w:noWrap w:val="0"/>
            <w:vAlign w:val="center"/>
          </w:tcPr>
          <w:p>
            <w:pPr>
              <w:spacing w:line="240" w:lineRule="exact"/>
              <w:jc w:val="center"/>
              <w:rPr>
                <w:rFonts w:ascii="Times New Roman" w:hAnsi="Times New Roman" w:eastAsia="仿宋_GB2312"/>
                <w:color w:val="000000"/>
                <w:sz w:val="32"/>
              </w:rPr>
            </w:pPr>
          </w:p>
        </w:tc>
        <w:tc>
          <w:tcPr>
            <w:tcW w:w="1325" w:type="dxa"/>
            <w:tcBorders>
              <w:top w:val="single" w:color="auto" w:sz="6" w:space="0"/>
              <w:left w:val="nil"/>
              <w:bottom w:val="single" w:color="auto" w:sz="6" w:space="0"/>
              <w:right w:val="single" w:color="auto" w:sz="6" w:space="0"/>
            </w:tcBorders>
            <w:noWrap w:val="0"/>
            <w:vAlign w:val="center"/>
          </w:tcPr>
          <w:p>
            <w:pPr>
              <w:spacing w:before="100" w:beforeAutospacing="1" w:line="24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《中华人民共和国公司登记管理条例》</w:t>
            </w:r>
          </w:p>
        </w:tc>
        <w:tc>
          <w:tcPr>
            <w:tcW w:w="669" w:type="dxa"/>
            <w:vMerge w:val="continue"/>
            <w:noWrap w:val="0"/>
            <w:vAlign w:val="center"/>
          </w:tcPr>
          <w:p>
            <w:pPr>
              <w:spacing w:line="240" w:lineRule="exact"/>
              <w:jc w:val="center"/>
              <w:rPr>
                <w:rFonts w:ascii="Times New Roman" w:hAnsi="Times New Roman" w:eastAsia="仿宋_GB2312"/>
                <w:color w:val="000000"/>
                <w:sz w:val="32"/>
              </w:rPr>
            </w:pPr>
          </w:p>
        </w:tc>
        <w:tc>
          <w:tcPr>
            <w:tcW w:w="3806" w:type="dxa"/>
            <w:vMerge w:val="continue"/>
            <w:noWrap w:val="0"/>
            <w:vAlign w:val="center"/>
          </w:tcPr>
          <w:p>
            <w:pPr>
              <w:widowControl/>
              <w:spacing w:line="240" w:lineRule="exact"/>
              <w:ind w:firstLine="400" w:firstLineChars="200"/>
              <w:jc w:val="left"/>
              <w:rPr>
                <w:rFonts w:ascii="Times New Roman" w:hAnsi="Times New Roman" w:eastAsia="仿宋_GB2312"/>
                <w:color w:val="000000"/>
                <w:sz w:val="20"/>
                <w:szCs w:val="20"/>
              </w:rPr>
            </w:pPr>
          </w:p>
        </w:tc>
        <w:tc>
          <w:tcPr>
            <w:tcW w:w="1059" w:type="dxa"/>
            <w:noWrap w:val="0"/>
            <w:vAlign w:val="center"/>
          </w:tcPr>
          <w:p>
            <w:pPr>
              <w:widowControl/>
              <w:spacing w:line="240" w:lineRule="exact"/>
              <w:jc w:val="left"/>
              <w:rPr>
                <w:rFonts w:ascii="Times New Roman" w:hAnsi="Times New Roman" w:eastAsia="仿宋_GB2312"/>
                <w:color w:val="000000"/>
                <w:sz w:val="20"/>
                <w:szCs w:val="20"/>
              </w:rPr>
            </w:pPr>
            <w:r>
              <w:rPr>
                <w:rFonts w:ascii="Times New Roman" w:hAnsi="Times New Roman" w:eastAsia="仿宋_GB2312"/>
                <w:color w:val="000000"/>
                <w:sz w:val="20"/>
                <w:szCs w:val="20"/>
              </w:rPr>
              <w:t>属“对公司、企业相关活动的备案”子项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5" w:hRule="atLeast"/>
          <w:jc w:val="center"/>
        </w:trPr>
        <w:tc>
          <w:tcPr>
            <w:tcW w:w="571" w:type="dxa"/>
            <w:noWrap w:val="0"/>
            <w:vAlign w:val="center"/>
          </w:tcPr>
          <w:p>
            <w:pPr>
              <w:widowControl/>
              <w:spacing w:line="240" w:lineRule="exact"/>
              <w:jc w:val="center"/>
              <w:rPr>
                <w:rFonts w:ascii="Times New Roman" w:hAnsi="Times New Roman" w:eastAsia="仿宋_GB2312"/>
                <w:color w:val="000000"/>
                <w:sz w:val="22"/>
                <w:szCs w:val="32"/>
              </w:rPr>
            </w:pPr>
            <w:r>
              <w:rPr>
                <w:rFonts w:ascii="Times New Roman" w:hAnsi="Times New Roman" w:eastAsia="仿宋_GB2312"/>
                <w:color w:val="000000"/>
                <w:sz w:val="22"/>
                <w:szCs w:val="32"/>
              </w:rPr>
              <w:t>4</w:t>
            </w:r>
          </w:p>
        </w:tc>
        <w:tc>
          <w:tcPr>
            <w:tcW w:w="956" w:type="dxa"/>
            <w:tcBorders>
              <w:top w:val="single" w:color="auto" w:sz="6" w:space="0"/>
              <w:left w:val="nil"/>
              <w:bottom w:val="single" w:color="auto" w:sz="6" w:space="0"/>
              <w:right w:val="single" w:color="auto" w:sz="6" w:space="0"/>
            </w:tcBorders>
            <w:noWrap w:val="0"/>
            <w:vAlign w:val="center"/>
          </w:tcPr>
          <w:p>
            <w:pPr>
              <w:adjustRightInd w:val="0"/>
              <w:spacing w:line="24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外商投资合伙企业设立、变更、注销分支机构备案</w:t>
            </w:r>
          </w:p>
        </w:tc>
        <w:tc>
          <w:tcPr>
            <w:tcW w:w="696" w:type="dxa"/>
            <w:vMerge w:val="continue"/>
            <w:noWrap w:val="0"/>
            <w:vAlign w:val="center"/>
          </w:tcPr>
          <w:p>
            <w:pPr>
              <w:spacing w:line="240" w:lineRule="exact"/>
              <w:jc w:val="center"/>
              <w:rPr>
                <w:rFonts w:ascii="Times New Roman" w:hAnsi="Times New Roman" w:eastAsia="仿宋_GB2312"/>
                <w:color w:val="000000"/>
                <w:sz w:val="32"/>
              </w:rPr>
            </w:pPr>
          </w:p>
        </w:tc>
        <w:tc>
          <w:tcPr>
            <w:tcW w:w="1325" w:type="dxa"/>
            <w:tcBorders>
              <w:top w:val="single" w:color="auto" w:sz="6" w:space="0"/>
              <w:left w:val="nil"/>
              <w:bottom w:val="single" w:color="auto" w:sz="6" w:space="0"/>
              <w:right w:val="single" w:color="auto" w:sz="6" w:space="0"/>
            </w:tcBorders>
            <w:noWrap w:val="0"/>
            <w:vAlign w:val="center"/>
          </w:tcPr>
          <w:p>
            <w:pPr>
              <w:spacing w:before="100" w:beforeAutospacing="1" w:line="24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《外商投资合伙企业登记管理规定》（原工商总局令2014年第63号）</w:t>
            </w:r>
          </w:p>
        </w:tc>
        <w:tc>
          <w:tcPr>
            <w:tcW w:w="669" w:type="dxa"/>
            <w:vMerge w:val="continue"/>
            <w:noWrap w:val="0"/>
            <w:vAlign w:val="center"/>
          </w:tcPr>
          <w:p>
            <w:pPr>
              <w:spacing w:line="240" w:lineRule="exact"/>
              <w:jc w:val="center"/>
              <w:rPr>
                <w:rFonts w:ascii="Times New Roman" w:hAnsi="Times New Roman" w:eastAsia="仿宋_GB2312"/>
                <w:color w:val="000000"/>
                <w:sz w:val="32"/>
              </w:rPr>
            </w:pPr>
          </w:p>
        </w:tc>
        <w:tc>
          <w:tcPr>
            <w:tcW w:w="3806" w:type="dxa"/>
            <w:vMerge w:val="continue"/>
            <w:noWrap w:val="0"/>
            <w:vAlign w:val="center"/>
          </w:tcPr>
          <w:p>
            <w:pPr>
              <w:widowControl/>
              <w:spacing w:line="240" w:lineRule="exact"/>
              <w:ind w:firstLine="400" w:firstLineChars="200"/>
              <w:jc w:val="left"/>
              <w:rPr>
                <w:rFonts w:ascii="Times New Roman" w:hAnsi="Times New Roman" w:eastAsia="仿宋_GB2312"/>
                <w:color w:val="000000"/>
                <w:sz w:val="20"/>
                <w:szCs w:val="20"/>
              </w:rPr>
            </w:pPr>
          </w:p>
        </w:tc>
        <w:tc>
          <w:tcPr>
            <w:tcW w:w="1059" w:type="dxa"/>
            <w:noWrap w:val="0"/>
            <w:vAlign w:val="center"/>
          </w:tcPr>
          <w:p>
            <w:pPr>
              <w:widowControl/>
              <w:spacing w:line="240" w:lineRule="exact"/>
              <w:jc w:val="left"/>
              <w:rPr>
                <w:rFonts w:ascii="Times New Roman" w:hAnsi="Times New Roman" w:eastAsia="仿宋_GB2312"/>
                <w:color w:val="000000"/>
                <w:sz w:val="20"/>
                <w:szCs w:val="20"/>
              </w:rPr>
            </w:pPr>
            <w:r>
              <w:rPr>
                <w:rFonts w:ascii="Times New Roman" w:hAnsi="Times New Roman" w:eastAsia="仿宋_GB2312"/>
                <w:color w:val="000000"/>
                <w:sz w:val="20"/>
                <w:szCs w:val="20"/>
              </w:rPr>
              <w:t>属“外商投资企业相关活动的备案”子项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5" w:hRule="atLeast"/>
          <w:jc w:val="center"/>
        </w:trPr>
        <w:tc>
          <w:tcPr>
            <w:tcW w:w="571" w:type="dxa"/>
            <w:noWrap w:val="0"/>
            <w:vAlign w:val="center"/>
          </w:tcPr>
          <w:p>
            <w:pPr>
              <w:widowControl/>
              <w:spacing w:line="240" w:lineRule="exact"/>
              <w:jc w:val="center"/>
              <w:rPr>
                <w:rFonts w:ascii="Times New Roman" w:hAnsi="Times New Roman" w:eastAsia="仿宋_GB2312"/>
                <w:color w:val="000000"/>
                <w:sz w:val="22"/>
                <w:szCs w:val="32"/>
              </w:rPr>
            </w:pPr>
            <w:r>
              <w:rPr>
                <w:rFonts w:ascii="Times New Roman" w:hAnsi="Times New Roman" w:eastAsia="仿宋_GB2312"/>
                <w:color w:val="000000"/>
                <w:sz w:val="22"/>
                <w:szCs w:val="32"/>
              </w:rPr>
              <w:t>5</w:t>
            </w:r>
          </w:p>
        </w:tc>
        <w:tc>
          <w:tcPr>
            <w:tcW w:w="956" w:type="dxa"/>
            <w:tcBorders>
              <w:top w:val="single" w:color="auto" w:sz="6" w:space="0"/>
              <w:left w:val="nil"/>
              <w:bottom w:val="single" w:color="auto" w:sz="6" w:space="0"/>
              <w:right w:val="single" w:color="auto" w:sz="6" w:space="0"/>
            </w:tcBorders>
            <w:noWrap w:val="0"/>
            <w:vAlign w:val="center"/>
          </w:tcPr>
          <w:p>
            <w:pPr>
              <w:adjustRightInd w:val="0"/>
              <w:spacing w:line="24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营业执照作废声明</w:t>
            </w:r>
          </w:p>
        </w:tc>
        <w:tc>
          <w:tcPr>
            <w:tcW w:w="696" w:type="dxa"/>
            <w:vMerge w:val="continue"/>
            <w:noWrap w:val="0"/>
            <w:vAlign w:val="center"/>
          </w:tcPr>
          <w:p>
            <w:pPr>
              <w:widowControl/>
              <w:spacing w:line="240" w:lineRule="exact"/>
              <w:jc w:val="center"/>
              <w:rPr>
                <w:rFonts w:ascii="Times New Roman" w:hAnsi="Times New Roman" w:eastAsia="仿宋_GB2312"/>
                <w:color w:val="000000"/>
                <w:sz w:val="32"/>
              </w:rPr>
            </w:pPr>
          </w:p>
        </w:tc>
        <w:tc>
          <w:tcPr>
            <w:tcW w:w="1325" w:type="dxa"/>
            <w:tcBorders>
              <w:top w:val="single" w:color="auto" w:sz="6" w:space="0"/>
              <w:left w:val="nil"/>
              <w:bottom w:val="single" w:color="auto" w:sz="6" w:space="0"/>
              <w:right w:val="single" w:color="auto" w:sz="6" w:space="0"/>
            </w:tcBorders>
            <w:noWrap w:val="0"/>
            <w:vAlign w:val="center"/>
          </w:tcPr>
          <w:p>
            <w:pPr>
              <w:spacing w:before="100" w:beforeAutospacing="1" w:line="24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《中华人民共和国公司登记管理条例》</w:t>
            </w:r>
          </w:p>
        </w:tc>
        <w:tc>
          <w:tcPr>
            <w:tcW w:w="669" w:type="dxa"/>
            <w:vMerge w:val="continue"/>
            <w:noWrap w:val="0"/>
            <w:vAlign w:val="center"/>
          </w:tcPr>
          <w:p>
            <w:pPr>
              <w:widowControl/>
              <w:spacing w:line="240" w:lineRule="exact"/>
              <w:jc w:val="center"/>
              <w:rPr>
                <w:rFonts w:ascii="Times New Roman" w:hAnsi="Times New Roman" w:eastAsia="仿宋_GB2312"/>
                <w:color w:val="000000"/>
                <w:sz w:val="32"/>
              </w:rPr>
            </w:pPr>
          </w:p>
        </w:tc>
        <w:tc>
          <w:tcPr>
            <w:tcW w:w="3806" w:type="dxa"/>
            <w:vMerge w:val="continue"/>
            <w:noWrap w:val="0"/>
            <w:vAlign w:val="center"/>
          </w:tcPr>
          <w:p>
            <w:pPr>
              <w:widowControl/>
              <w:spacing w:line="240" w:lineRule="exact"/>
              <w:ind w:firstLine="400" w:firstLineChars="200"/>
              <w:jc w:val="left"/>
              <w:rPr>
                <w:rFonts w:ascii="Times New Roman" w:hAnsi="Times New Roman" w:eastAsia="仿宋_GB2312"/>
                <w:color w:val="000000"/>
                <w:sz w:val="20"/>
                <w:szCs w:val="20"/>
              </w:rPr>
            </w:pPr>
          </w:p>
        </w:tc>
        <w:tc>
          <w:tcPr>
            <w:tcW w:w="1059" w:type="dxa"/>
            <w:noWrap w:val="0"/>
            <w:vAlign w:val="center"/>
          </w:tcPr>
          <w:p>
            <w:pPr>
              <w:widowControl/>
              <w:spacing w:line="240" w:lineRule="exact"/>
              <w:jc w:val="left"/>
              <w:rPr>
                <w:rFonts w:ascii="Times New Roman" w:hAnsi="Times New Roman" w:eastAsia="仿宋_GB2312"/>
                <w:color w:val="000000"/>
                <w:sz w:val="20"/>
                <w:szCs w:val="20"/>
              </w:rPr>
            </w:pPr>
          </w:p>
        </w:tc>
      </w:tr>
    </w:tbl>
    <w:p/>
    <w:sectPr>
      <w:pgSz w:w="11906" w:h="16838"/>
      <w:pgMar w:top="1701" w:right="1587"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454D54"/>
    <w:rsid w:val="30454D54"/>
    <w:rsid w:val="36F23B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2019-01-03T07:25:00Z</dcterms:created>
  <dc:creator>️</dc:creator>
  <cp:lastModifiedBy>️</cp:lastModifiedBy>
  <dcterms:modified xsi:type="dcterms:W3CDTF">2019-01-03T07:27:06Z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2052-11.1.0.8205</vt:lpwstr>
  </property>
</Properties>
</file>