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eastAsia" w:ascii="Times New Roman" w:hAnsi="黑体" w:eastAsia="黑体"/>
          <w:sz w:val="32"/>
          <w:szCs w:val="32"/>
        </w:rPr>
      </w:pPr>
      <w:r>
        <w:rPr>
          <w:rFonts w:hint="eastAsia" w:ascii="Times New Roman" w:hAnsi="黑体" w:eastAsia="黑体"/>
          <w:sz w:val="32"/>
          <w:szCs w:val="32"/>
        </w:rPr>
        <w:t>附件</w:t>
      </w:r>
      <w:r>
        <w:rPr>
          <w:rFonts w:ascii="Times New Roman" w:hAnsi="黑体" w:eastAsia="黑体"/>
          <w:sz w:val="32"/>
          <w:szCs w:val="32"/>
        </w:rPr>
        <w:t>3</w:t>
      </w:r>
    </w:p>
    <w:p>
      <w:pPr>
        <w:adjustRightInd w:val="0"/>
        <w:spacing w:line="620" w:lineRule="exact"/>
        <w:jc w:val="center"/>
        <w:rPr>
          <w:rFonts w:ascii="方正小标宋简体" w:hAnsi="Times New Roman" w:eastAsia="方正小标宋简体"/>
          <w:spacing w:val="-12"/>
          <w:sz w:val="42"/>
          <w:szCs w:val="42"/>
        </w:rPr>
      </w:pPr>
      <w:bookmarkStart w:id="0" w:name="_GoBack"/>
      <w:r>
        <w:rPr>
          <w:rFonts w:hint="eastAsia" w:ascii="方正小标宋简体" w:hAnsi="Times New Roman" w:eastAsia="方正小标宋简体"/>
          <w:spacing w:val="-12"/>
          <w:sz w:val="42"/>
          <w:szCs w:val="42"/>
        </w:rPr>
        <w:t>市政府决定清理规范的行政审批中介服务事项目录</w:t>
      </w:r>
    </w:p>
    <w:bookmarkEnd w:id="0"/>
    <w:p>
      <w:pPr>
        <w:adjustRightInd w:val="0"/>
        <w:spacing w:line="620" w:lineRule="exact"/>
        <w:jc w:val="center"/>
        <w:rPr>
          <w:rFonts w:hint="eastAsia" w:ascii="楷体_GB2312" w:hAnsi="Times New Roman" w:eastAsia="楷体_GB2312"/>
          <w:sz w:val="32"/>
          <w:szCs w:val="32"/>
        </w:rPr>
      </w:pPr>
      <w:r>
        <w:rPr>
          <w:rFonts w:hint="eastAsia" w:ascii="楷体_GB2312" w:hAnsi="Times New Roman" w:eastAsia="楷体_GB2312"/>
          <w:sz w:val="32"/>
          <w:szCs w:val="32"/>
        </w:rPr>
        <w:t>（共</w:t>
      </w:r>
      <w:r>
        <w:rPr>
          <w:rFonts w:ascii="Times New Roman" w:hAnsi="Times New Roman" w:eastAsia="楷体_GB2312"/>
          <w:sz w:val="32"/>
          <w:szCs w:val="32"/>
        </w:rPr>
        <w:t>13</w:t>
      </w:r>
      <w:r>
        <w:rPr>
          <w:rFonts w:hint="eastAsia" w:ascii="楷体_GB2312" w:hAnsi="Times New Roman" w:eastAsia="楷体_GB2312"/>
          <w:sz w:val="32"/>
          <w:szCs w:val="32"/>
        </w:rPr>
        <w:t>项）</w:t>
      </w:r>
    </w:p>
    <w:tbl>
      <w:tblPr>
        <w:tblStyle w:val="3"/>
        <w:tblW w:w="9095" w:type="dxa"/>
        <w:jc w:val="center"/>
        <w:tblInd w:w="0" w:type="dxa"/>
        <w:tblLayout w:type="fixed"/>
        <w:tblCellMar>
          <w:top w:w="0" w:type="dxa"/>
          <w:left w:w="0" w:type="dxa"/>
          <w:bottom w:w="0" w:type="dxa"/>
          <w:right w:w="0" w:type="dxa"/>
        </w:tblCellMar>
      </w:tblPr>
      <w:tblGrid>
        <w:gridCol w:w="472"/>
        <w:gridCol w:w="1042"/>
        <w:gridCol w:w="1594"/>
        <w:gridCol w:w="696"/>
        <w:gridCol w:w="1825"/>
        <w:gridCol w:w="1134"/>
        <w:gridCol w:w="1740"/>
        <w:gridCol w:w="592"/>
      </w:tblGrid>
      <w:tr>
        <w:tblPrEx>
          <w:tblLayout w:type="fixed"/>
          <w:tblCellMar>
            <w:top w:w="0" w:type="dxa"/>
            <w:left w:w="0" w:type="dxa"/>
            <w:bottom w:w="0" w:type="dxa"/>
            <w:right w:w="0" w:type="dxa"/>
          </w:tblCellMar>
        </w:tblPrEx>
        <w:trPr>
          <w:trHeight w:val="649" w:hRule="atLeast"/>
          <w:tblHeader/>
          <w:jc w:val="center"/>
        </w:trPr>
        <w:tc>
          <w:tcPr>
            <w:tcW w:w="472"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序号</w:t>
            </w:r>
          </w:p>
        </w:tc>
        <w:tc>
          <w:tcPr>
            <w:tcW w:w="1042" w:type="dxa"/>
            <w:tcBorders>
              <w:top w:val="single" w:color="000000" w:sz="8"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中介服务事项名称</w:t>
            </w:r>
          </w:p>
        </w:tc>
        <w:tc>
          <w:tcPr>
            <w:tcW w:w="1594" w:type="dxa"/>
            <w:tcBorders>
              <w:top w:val="single" w:color="000000" w:sz="8"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涉及的审批事项项目名称</w:t>
            </w:r>
          </w:p>
        </w:tc>
        <w:tc>
          <w:tcPr>
            <w:tcW w:w="696" w:type="dxa"/>
            <w:tcBorders>
              <w:top w:val="single" w:color="000000" w:sz="8"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审批部门</w:t>
            </w:r>
          </w:p>
        </w:tc>
        <w:tc>
          <w:tcPr>
            <w:tcW w:w="1825" w:type="dxa"/>
            <w:tcBorders>
              <w:top w:val="single" w:color="000000" w:sz="8"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hint="eastAsia" w:ascii="Times New Roman" w:hAnsi="Times New Roman" w:eastAsia="黑体"/>
                <w:bCs/>
                <w:kern w:val="0"/>
                <w:szCs w:val="21"/>
              </w:rPr>
            </w:pPr>
            <w:r>
              <w:rPr>
                <w:rFonts w:ascii="Times New Roman" w:hAnsi="Times New Roman" w:eastAsia="黑体"/>
                <w:bCs/>
                <w:kern w:val="0"/>
                <w:szCs w:val="21"/>
              </w:rPr>
              <w:t>中介服务设定</w:t>
            </w:r>
          </w:p>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依据</w:t>
            </w:r>
          </w:p>
        </w:tc>
        <w:tc>
          <w:tcPr>
            <w:tcW w:w="1134" w:type="dxa"/>
            <w:tcBorders>
              <w:top w:val="single" w:color="000000" w:sz="8"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中介服务实施机构</w:t>
            </w:r>
          </w:p>
        </w:tc>
        <w:tc>
          <w:tcPr>
            <w:tcW w:w="1740" w:type="dxa"/>
            <w:tcBorders>
              <w:top w:val="single" w:color="000000" w:sz="8"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黑体"/>
                <w:kern w:val="0"/>
                <w:szCs w:val="21"/>
              </w:rPr>
            </w:pPr>
            <w:r>
              <w:rPr>
                <w:rFonts w:ascii="Times New Roman" w:hAnsi="Times New Roman" w:eastAsia="黑体"/>
                <w:bCs/>
                <w:kern w:val="0"/>
                <w:szCs w:val="21"/>
              </w:rPr>
              <w:t>处理决定</w:t>
            </w:r>
          </w:p>
        </w:tc>
        <w:tc>
          <w:tcPr>
            <w:tcW w:w="592" w:type="dxa"/>
            <w:tcBorders>
              <w:top w:val="single" w:color="000000" w:sz="8" w:space="0"/>
              <w:left w:val="nil"/>
              <w:bottom w:val="single" w:color="000000" w:sz="8" w:space="0"/>
              <w:right w:val="single" w:color="000000" w:sz="8" w:space="0"/>
            </w:tcBorders>
            <w:noWrap w:val="0"/>
            <w:vAlign w:val="center"/>
          </w:tcPr>
          <w:p>
            <w:pPr>
              <w:widowControl/>
              <w:spacing w:line="260" w:lineRule="exact"/>
              <w:jc w:val="center"/>
              <w:rPr>
                <w:rFonts w:ascii="Times New Roman" w:hAnsi="Times New Roman" w:eastAsia="黑体"/>
                <w:bCs/>
                <w:kern w:val="0"/>
                <w:szCs w:val="21"/>
              </w:rPr>
            </w:pPr>
            <w:r>
              <w:rPr>
                <w:rFonts w:ascii="Times New Roman" w:hAnsi="Times New Roman" w:eastAsia="黑体"/>
                <w:bCs/>
                <w:kern w:val="0"/>
                <w:szCs w:val="21"/>
              </w:rPr>
              <w:t>备注</w:t>
            </w:r>
          </w:p>
        </w:tc>
      </w:tr>
      <w:tr>
        <w:tblPrEx>
          <w:tblLayout w:type="fixed"/>
          <w:tblCellMar>
            <w:top w:w="0" w:type="dxa"/>
            <w:left w:w="0" w:type="dxa"/>
            <w:bottom w:w="0" w:type="dxa"/>
            <w:right w:w="0" w:type="dxa"/>
          </w:tblCellMar>
        </w:tblPrEx>
        <w:trPr>
          <w:trHeight w:val="922" w:hRule="atLeast"/>
          <w:jc w:val="center"/>
        </w:trPr>
        <w:tc>
          <w:tcPr>
            <w:tcW w:w="472" w:type="dxa"/>
            <w:tcBorders>
              <w:top w:val="nil"/>
              <w:left w:val="single" w:color="000000" w:sz="8" w:space="0"/>
              <w:bottom w:val="single" w:color="000000" w:sz="8" w:space="0"/>
              <w:right w:val="single" w:color="auto" w:sz="4"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1</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矿山建设工程项目申请书</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黄金矿山建设工程设计文件审批</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市工信委</w:t>
            </w:r>
          </w:p>
        </w:tc>
        <w:tc>
          <w:tcPr>
            <w:tcW w:w="182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kern w:val="0"/>
                <w:szCs w:val="21"/>
              </w:rPr>
            </w:pPr>
            <w:r>
              <w:rPr>
                <w:rFonts w:ascii="Times New Roman" w:hAnsi="Times New Roman" w:eastAsia="仿宋_GB2312"/>
                <w:kern w:val="0"/>
                <w:szCs w:val="21"/>
              </w:rPr>
              <w:t>《中华人民共和国矿山安全法》第8条</w:t>
            </w:r>
          </w:p>
        </w:tc>
        <w:tc>
          <w:tcPr>
            <w:tcW w:w="1134" w:type="dxa"/>
            <w:tcBorders>
              <w:top w:val="nil"/>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kern w:val="0"/>
                <w:szCs w:val="21"/>
              </w:rPr>
            </w:pPr>
            <w:r>
              <w:rPr>
                <w:rFonts w:ascii="Times New Roman" w:eastAsia="仿宋_GB2312"/>
                <w:szCs w:val="21"/>
              </w:rPr>
              <w:t>具有相应资质的工程咨询机构</w:t>
            </w:r>
          </w:p>
        </w:tc>
        <w:tc>
          <w:tcPr>
            <w:tcW w:w="1740"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取消</w:t>
            </w:r>
          </w:p>
        </w:tc>
        <w:tc>
          <w:tcPr>
            <w:tcW w:w="592" w:type="dxa"/>
            <w:tcBorders>
              <w:top w:val="nil"/>
              <w:left w:val="nil"/>
              <w:bottom w:val="single" w:color="000000" w:sz="8"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1035" w:hRule="atLeast"/>
          <w:jc w:val="center"/>
        </w:trPr>
        <w:tc>
          <w:tcPr>
            <w:tcW w:w="472"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2</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工程检测资料</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房屋建筑和市政基础设施工程竣工验收备案</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市住建局</w:t>
            </w:r>
          </w:p>
        </w:tc>
        <w:tc>
          <w:tcPr>
            <w:tcW w:w="182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《房屋建筑和市政基础设施工程竣工验收备案管理办法》第五条</w:t>
            </w:r>
          </w:p>
        </w:tc>
        <w:tc>
          <w:tcPr>
            <w:tcW w:w="1134"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具有相应资质的工程检测机构</w:t>
            </w:r>
          </w:p>
        </w:tc>
        <w:tc>
          <w:tcPr>
            <w:tcW w:w="1740"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取消</w:t>
            </w:r>
          </w:p>
        </w:tc>
        <w:tc>
          <w:tcPr>
            <w:tcW w:w="592" w:type="dxa"/>
            <w:tcBorders>
              <w:top w:val="nil"/>
              <w:left w:val="nil"/>
              <w:bottom w:val="single" w:color="000000" w:sz="8" w:space="0"/>
              <w:right w:val="single" w:color="000000" w:sz="8" w:space="0"/>
            </w:tcBorders>
            <w:noWrap w:val="0"/>
            <w:vAlign w:val="center"/>
          </w:tcPr>
          <w:p>
            <w:pPr>
              <w:widowControl/>
              <w:spacing w:line="260" w:lineRule="exact"/>
              <w:jc w:val="center"/>
              <w:rPr>
                <w:rFonts w:ascii="Times New Roman" w:hAnsi="Times New Roman" w:eastAsia="仿宋_GB2312"/>
                <w:szCs w:val="21"/>
              </w:rPr>
            </w:pPr>
          </w:p>
        </w:tc>
      </w:tr>
      <w:tr>
        <w:tblPrEx>
          <w:tblLayout w:type="fixed"/>
          <w:tblCellMar>
            <w:top w:w="0" w:type="dxa"/>
            <w:left w:w="0" w:type="dxa"/>
            <w:bottom w:w="0" w:type="dxa"/>
            <w:right w:w="0" w:type="dxa"/>
          </w:tblCellMar>
        </w:tblPrEx>
        <w:trPr>
          <w:trHeight w:val="3242" w:hRule="atLeast"/>
          <w:jc w:val="center"/>
        </w:trPr>
        <w:tc>
          <w:tcPr>
            <w:tcW w:w="472" w:type="dxa"/>
            <w:tcBorders>
              <w:top w:val="nil"/>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3</w:t>
            </w:r>
          </w:p>
        </w:tc>
        <w:tc>
          <w:tcPr>
            <w:tcW w:w="104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防洪影响评价报告或初步设计编制</w:t>
            </w:r>
          </w:p>
        </w:tc>
        <w:tc>
          <w:tcPr>
            <w:tcW w:w="1594"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利用堤顶、戗台、坝顶、水闸工作桥兼作公路审批</w:t>
            </w:r>
          </w:p>
        </w:tc>
        <w:tc>
          <w:tcPr>
            <w:tcW w:w="69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市水利局</w:t>
            </w:r>
          </w:p>
        </w:tc>
        <w:tc>
          <w:tcPr>
            <w:tcW w:w="182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pacing w:val="-6"/>
                <w:szCs w:val="21"/>
              </w:rPr>
            </w:pPr>
            <w:r>
              <w:rPr>
                <w:rFonts w:ascii="Times New Roman" w:eastAsia="仿宋_GB2312"/>
                <w:spacing w:val="-6"/>
                <w:szCs w:val="21"/>
              </w:rPr>
              <w:t>《中华人民共和国水法》第三十八条、《中华人民共和国防洪法》第三十三条、《江西省实施</w:t>
            </w:r>
            <w:r>
              <w:rPr>
                <w:rFonts w:ascii="Times New Roman" w:hAnsi="Times New Roman" w:eastAsia="仿宋_GB2312"/>
                <w:spacing w:val="-6"/>
                <w:szCs w:val="21"/>
              </w:rPr>
              <w:t>&lt;</w:t>
            </w:r>
            <w:r>
              <w:rPr>
                <w:rFonts w:ascii="Times New Roman" w:eastAsia="仿宋_GB2312"/>
                <w:spacing w:val="-6"/>
                <w:szCs w:val="21"/>
              </w:rPr>
              <w:t>中华人民共和国防洪法</w:t>
            </w:r>
            <w:r>
              <w:rPr>
                <w:rFonts w:ascii="Times New Roman" w:hAnsi="Times New Roman" w:eastAsia="仿宋_GB2312"/>
                <w:spacing w:val="-6"/>
                <w:szCs w:val="21"/>
              </w:rPr>
              <w:t>&gt;</w:t>
            </w:r>
            <w:r>
              <w:rPr>
                <w:rFonts w:ascii="Times New Roman" w:eastAsia="仿宋_GB2312"/>
                <w:spacing w:val="-6"/>
                <w:szCs w:val="21"/>
              </w:rPr>
              <w:t>办法》第二十四条、《河道管理范围内建设项目防洪评价报告编制导则（试行）》（水利部办公厅文件办建管〔</w:t>
            </w:r>
            <w:r>
              <w:rPr>
                <w:rFonts w:ascii="Times New Roman" w:hAnsi="Times New Roman" w:eastAsia="仿宋_GB2312"/>
                <w:spacing w:val="-6"/>
                <w:szCs w:val="21"/>
              </w:rPr>
              <w:t>2004</w:t>
            </w:r>
            <w:r>
              <w:rPr>
                <w:rFonts w:ascii="Times New Roman" w:eastAsia="仿宋_GB2312"/>
                <w:spacing w:val="-6"/>
                <w:szCs w:val="21"/>
              </w:rPr>
              <w:t>〕</w:t>
            </w:r>
            <w:r>
              <w:rPr>
                <w:rFonts w:ascii="Times New Roman" w:hAnsi="Times New Roman" w:eastAsia="仿宋_GB2312"/>
                <w:spacing w:val="-6"/>
                <w:szCs w:val="21"/>
              </w:rPr>
              <w:t>109</w:t>
            </w:r>
            <w:r>
              <w:rPr>
                <w:rFonts w:ascii="Times New Roman" w:eastAsia="仿宋_GB2312"/>
                <w:spacing w:val="-6"/>
                <w:szCs w:val="21"/>
              </w:rPr>
              <w:t>号）</w:t>
            </w:r>
          </w:p>
        </w:tc>
        <w:tc>
          <w:tcPr>
            <w:tcW w:w="1134"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具有水利水电相应设计或咨询资质的机构</w:t>
            </w:r>
          </w:p>
        </w:tc>
        <w:tc>
          <w:tcPr>
            <w:tcW w:w="1740"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取消</w:t>
            </w:r>
          </w:p>
        </w:tc>
        <w:tc>
          <w:tcPr>
            <w:tcW w:w="592" w:type="dxa"/>
            <w:tcBorders>
              <w:top w:val="nil"/>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r>
              <w:rPr>
                <w:rFonts w:ascii="Times New Roman" w:eastAsia="仿宋_GB2312"/>
                <w:szCs w:val="21"/>
              </w:rPr>
              <w:t>该许可事项已取消</w:t>
            </w:r>
          </w:p>
        </w:tc>
      </w:tr>
      <w:tr>
        <w:tblPrEx>
          <w:tblLayout w:type="fixed"/>
          <w:tblCellMar>
            <w:top w:w="0" w:type="dxa"/>
            <w:left w:w="0" w:type="dxa"/>
            <w:bottom w:w="0" w:type="dxa"/>
            <w:right w:w="0" w:type="dxa"/>
          </w:tblCellMar>
        </w:tblPrEx>
        <w:trPr>
          <w:trHeight w:val="1274"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4</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房地产开发企业年度审计报告</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三级及以下房地产开发企业资质核准</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市行政审批局</w:t>
            </w:r>
          </w:p>
        </w:tc>
        <w:tc>
          <w:tcPr>
            <w:tcW w:w="182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rPr>
                <w:rFonts w:ascii="Times New Roman" w:hAnsi="Times New Roman" w:eastAsia="仿宋_GB2312"/>
                <w:szCs w:val="21"/>
              </w:rPr>
            </w:pPr>
            <w:r>
              <w:rPr>
                <w:rFonts w:ascii="Times New Roman" w:eastAsia="仿宋_GB2312"/>
                <w:szCs w:val="21"/>
              </w:rPr>
              <w:t>《房地产开发企业资质管理规定》（建设部令</w:t>
            </w:r>
            <w:r>
              <w:rPr>
                <w:rFonts w:ascii="Times New Roman" w:hAnsi="Times New Roman" w:eastAsia="仿宋_GB2312"/>
                <w:szCs w:val="21"/>
              </w:rPr>
              <w:t>77</w:t>
            </w:r>
            <w:r>
              <w:rPr>
                <w:rFonts w:ascii="Times New Roman" w:eastAsia="仿宋_GB2312"/>
                <w:szCs w:val="21"/>
              </w:rPr>
              <w:t>号）第十条、《关于规范房地产开发企业资质申报有关工作的通知》（赣建审批〔</w:t>
            </w:r>
            <w:r>
              <w:rPr>
                <w:rFonts w:ascii="Times New Roman" w:hAnsi="Times New Roman" w:eastAsia="仿宋_GB2312"/>
                <w:szCs w:val="21"/>
              </w:rPr>
              <w:t>2013</w:t>
            </w:r>
            <w:r>
              <w:rPr>
                <w:rFonts w:ascii="Times New Roman" w:eastAsia="仿宋_GB2312"/>
                <w:szCs w:val="21"/>
              </w:rPr>
              <w:t>〕</w:t>
            </w:r>
            <w:r>
              <w:rPr>
                <w:rFonts w:ascii="Times New Roman" w:hAnsi="Times New Roman" w:eastAsia="仿宋_GB2312"/>
                <w:szCs w:val="21"/>
              </w:rPr>
              <w:t>199</w:t>
            </w:r>
            <w:r>
              <w:rPr>
                <w:rFonts w:ascii="Times New Roman" w:eastAsia="仿宋_GB2312"/>
                <w:szCs w:val="21"/>
              </w:rPr>
              <w:t>号）</w:t>
            </w:r>
          </w:p>
        </w:tc>
        <w:tc>
          <w:tcPr>
            <w:tcW w:w="113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rPr>
                <w:rFonts w:ascii="Times New Roman" w:hAnsi="Times New Roman" w:eastAsia="仿宋_GB2312"/>
                <w:szCs w:val="21"/>
              </w:rPr>
            </w:pPr>
            <w:r>
              <w:rPr>
                <w:rFonts w:ascii="Times New Roman" w:eastAsia="仿宋_GB2312"/>
                <w:szCs w:val="21"/>
              </w:rPr>
              <w:t>具有相应资质的会计事务机构</w:t>
            </w:r>
          </w:p>
        </w:tc>
        <w:tc>
          <w:tcPr>
            <w:tcW w:w="1740"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取消</w:t>
            </w:r>
          </w:p>
        </w:tc>
        <w:tc>
          <w:tcPr>
            <w:tcW w:w="592" w:type="dxa"/>
            <w:tcBorders>
              <w:top w:val="single" w:color="auto" w:sz="4" w:space="0"/>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1274"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5</w:t>
            </w:r>
          </w:p>
        </w:tc>
        <w:tc>
          <w:tcPr>
            <w:tcW w:w="104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人防工程监理合同</w:t>
            </w:r>
          </w:p>
        </w:tc>
        <w:tc>
          <w:tcPr>
            <w:tcW w:w="1594"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结合民用建筑修建防空地下室建设项目审批（防空地下室易地建设审批）</w:t>
            </w:r>
          </w:p>
        </w:tc>
        <w:tc>
          <w:tcPr>
            <w:tcW w:w="69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市行政审批局</w:t>
            </w:r>
          </w:p>
        </w:tc>
        <w:tc>
          <w:tcPr>
            <w:tcW w:w="182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《建设工程质量管理条例》（</w:t>
            </w:r>
            <w:r>
              <w:rPr>
                <w:rFonts w:ascii="Times New Roman" w:hAnsi="Times New Roman" w:eastAsia="仿宋_GB2312"/>
                <w:szCs w:val="21"/>
              </w:rPr>
              <w:t>2000</w:t>
            </w:r>
            <w:r>
              <w:rPr>
                <w:rFonts w:ascii="Times New Roman" w:eastAsia="仿宋_GB2312"/>
                <w:szCs w:val="21"/>
              </w:rPr>
              <w:t>年国务院第</w:t>
            </w:r>
            <w:r>
              <w:rPr>
                <w:rFonts w:ascii="Times New Roman" w:hAnsi="Times New Roman" w:eastAsia="仿宋_GB2312"/>
                <w:szCs w:val="21"/>
              </w:rPr>
              <w:t>279</w:t>
            </w:r>
            <w:r>
              <w:rPr>
                <w:rFonts w:ascii="Times New Roman" w:eastAsia="仿宋_GB2312"/>
                <w:szCs w:val="21"/>
              </w:rPr>
              <w:t>号令）第十二条、《江西省人民防空工程管理办法》（</w:t>
            </w:r>
            <w:r>
              <w:rPr>
                <w:rFonts w:ascii="Times New Roman" w:hAnsi="Times New Roman" w:eastAsia="仿宋_GB2312"/>
                <w:szCs w:val="21"/>
              </w:rPr>
              <w:t>2011</w:t>
            </w:r>
            <w:r>
              <w:rPr>
                <w:rFonts w:ascii="Times New Roman" w:eastAsia="仿宋_GB2312"/>
                <w:szCs w:val="21"/>
              </w:rPr>
              <w:t>年江西省人民政府第</w:t>
            </w:r>
            <w:r>
              <w:rPr>
                <w:rFonts w:ascii="Times New Roman" w:hAnsi="Times New Roman" w:eastAsia="仿宋_GB2312"/>
                <w:szCs w:val="21"/>
              </w:rPr>
              <w:t>187</w:t>
            </w:r>
            <w:r>
              <w:rPr>
                <w:rFonts w:ascii="Times New Roman" w:eastAsia="仿宋_GB2312"/>
                <w:szCs w:val="21"/>
              </w:rPr>
              <w:t>号令）第十六条</w:t>
            </w:r>
          </w:p>
        </w:tc>
        <w:tc>
          <w:tcPr>
            <w:tcW w:w="1134"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具有相应资质的人防工程监理企业</w:t>
            </w:r>
          </w:p>
        </w:tc>
        <w:tc>
          <w:tcPr>
            <w:tcW w:w="1740"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szCs w:val="21"/>
              </w:rPr>
            </w:pPr>
            <w:r>
              <w:rPr>
                <w:rFonts w:ascii="Times New Roman" w:eastAsia="仿宋_GB2312"/>
                <w:szCs w:val="21"/>
              </w:rPr>
              <w:t>取消</w:t>
            </w:r>
          </w:p>
        </w:tc>
        <w:tc>
          <w:tcPr>
            <w:tcW w:w="592" w:type="dxa"/>
            <w:tcBorders>
              <w:top w:val="single" w:color="auto" w:sz="4" w:space="0"/>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143"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6</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建设项目竣工环境保护验收监测报告编制</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权限内建设项目竣工环境保护验收</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市环保局</w:t>
            </w:r>
          </w:p>
        </w:tc>
        <w:tc>
          <w:tcPr>
            <w:tcW w:w="182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《建设项目环境保护管理条例》第二十条、《建设项目竣工环境保护验收管理办法》第十一条、第十二条</w:t>
            </w:r>
          </w:p>
        </w:tc>
        <w:tc>
          <w:tcPr>
            <w:tcW w:w="1134"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具有环境监测资质的机构</w:t>
            </w:r>
          </w:p>
        </w:tc>
        <w:tc>
          <w:tcPr>
            <w:tcW w:w="1740"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建设项目竣工环境保护验收监测报告编制不再由环保部门审批，由企业进行自主验收。</w:t>
            </w:r>
          </w:p>
        </w:tc>
        <w:tc>
          <w:tcPr>
            <w:tcW w:w="592" w:type="dxa"/>
            <w:tcBorders>
              <w:top w:val="single" w:color="auto" w:sz="4" w:space="0"/>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633"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7</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工程招投标代理</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全市水利建设项目招标投标监管</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市水利局</w:t>
            </w:r>
          </w:p>
        </w:tc>
        <w:tc>
          <w:tcPr>
            <w:tcW w:w="182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《江西省实施〈中华人民共和国招标投标法〉办法》第二章招标第十九条</w:t>
            </w:r>
          </w:p>
        </w:tc>
        <w:tc>
          <w:tcPr>
            <w:tcW w:w="1134"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在省水利厅备案的工程招投代理咨询机构</w:t>
            </w:r>
          </w:p>
        </w:tc>
        <w:tc>
          <w:tcPr>
            <w:tcW w:w="1740"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招标人可自行招标或委托符合要求的招标代理机构办理招标事宜，任何单位和个人不得以任何方式为招标人指定招标代理机构。</w:t>
            </w:r>
          </w:p>
        </w:tc>
        <w:tc>
          <w:tcPr>
            <w:tcW w:w="592" w:type="dxa"/>
            <w:tcBorders>
              <w:top w:val="single" w:color="auto" w:sz="4" w:space="0"/>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1082"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8</w:t>
            </w:r>
          </w:p>
        </w:tc>
        <w:tc>
          <w:tcPr>
            <w:tcW w:w="1042" w:type="dxa"/>
            <w:vMerge w:val="restart"/>
            <w:tcBorders>
              <w:top w:val="single" w:color="auto" w:sz="4" w:space="0"/>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防洪影响评价报告或初步设计编制</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河道管理范围内建设项目审查</w:t>
            </w:r>
          </w:p>
        </w:tc>
        <w:tc>
          <w:tcPr>
            <w:tcW w:w="696" w:type="dxa"/>
            <w:vMerge w:val="restart"/>
            <w:tcBorders>
              <w:top w:val="single" w:color="auto" w:sz="4" w:space="0"/>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市行政审批局</w:t>
            </w:r>
          </w:p>
        </w:tc>
        <w:tc>
          <w:tcPr>
            <w:tcW w:w="1825" w:type="dxa"/>
            <w:vMerge w:val="restart"/>
            <w:tcBorders>
              <w:top w:val="single" w:color="auto" w:sz="4" w:space="0"/>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《中华人民共和国水法》第三十八条、《中华人民共和国防洪法》第三十三条、《江西省实施</w:t>
            </w:r>
            <w:r>
              <w:rPr>
                <w:rFonts w:ascii="Times New Roman" w:hAnsi="Times New Roman" w:eastAsia="仿宋_GB2312"/>
                <w:szCs w:val="21"/>
              </w:rPr>
              <w:t>&lt;</w:t>
            </w:r>
            <w:r>
              <w:rPr>
                <w:rFonts w:ascii="Times New Roman" w:eastAsia="仿宋_GB2312"/>
                <w:szCs w:val="21"/>
              </w:rPr>
              <w:t>中华人民共和国防洪法</w:t>
            </w:r>
            <w:r>
              <w:rPr>
                <w:rFonts w:ascii="Times New Roman" w:hAnsi="Times New Roman" w:eastAsia="仿宋_GB2312"/>
                <w:szCs w:val="21"/>
              </w:rPr>
              <w:t>&gt;</w:t>
            </w:r>
            <w:r>
              <w:rPr>
                <w:rFonts w:ascii="Times New Roman" w:eastAsia="仿宋_GB2312"/>
                <w:szCs w:val="21"/>
              </w:rPr>
              <w:t>办法》第二十四条、《河道管理范围内建设项目防洪评价报告编制导则（试行）》（水利部办公厅文件办建管〔</w:t>
            </w:r>
            <w:r>
              <w:rPr>
                <w:rFonts w:ascii="Times New Roman" w:hAnsi="Times New Roman" w:eastAsia="仿宋_GB2312"/>
                <w:szCs w:val="21"/>
              </w:rPr>
              <w:t>2004</w:t>
            </w:r>
            <w:r>
              <w:rPr>
                <w:rFonts w:ascii="Times New Roman" w:eastAsia="仿宋_GB2312"/>
                <w:szCs w:val="21"/>
              </w:rPr>
              <w:t>〕</w:t>
            </w:r>
            <w:r>
              <w:rPr>
                <w:rFonts w:ascii="Times New Roman" w:hAnsi="Times New Roman" w:eastAsia="仿宋_GB2312"/>
                <w:szCs w:val="21"/>
              </w:rPr>
              <w:t>109</w:t>
            </w:r>
            <w:r>
              <w:rPr>
                <w:rFonts w:ascii="Times New Roman" w:eastAsia="仿宋_GB2312"/>
                <w:szCs w:val="21"/>
              </w:rPr>
              <w:t>号）</w:t>
            </w:r>
          </w:p>
        </w:tc>
        <w:tc>
          <w:tcPr>
            <w:tcW w:w="1134" w:type="dxa"/>
            <w:vMerge w:val="restart"/>
            <w:tcBorders>
              <w:top w:val="single" w:color="auto" w:sz="4" w:space="0"/>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具有水利水电相应设计或咨询资质的机构</w:t>
            </w:r>
          </w:p>
        </w:tc>
        <w:tc>
          <w:tcPr>
            <w:tcW w:w="1740" w:type="dxa"/>
            <w:vMerge w:val="restart"/>
            <w:tcBorders>
              <w:top w:val="single" w:color="auto" w:sz="4" w:space="0"/>
              <w:left w:val="nil"/>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申请人可按要求自行编制防洪影响评价报告或初步设计，也可委托有关机构编制，审批部门不得以任何形式要求申请人必须委托特定中介机构提供服务。</w:t>
            </w:r>
          </w:p>
        </w:tc>
        <w:tc>
          <w:tcPr>
            <w:tcW w:w="592" w:type="dxa"/>
            <w:vMerge w:val="restart"/>
            <w:tcBorders>
              <w:top w:val="single" w:color="auto" w:sz="4" w:space="0"/>
              <w:left w:val="nil"/>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017"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9</w:t>
            </w:r>
          </w:p>
        </w:tc>
        <w:tc>
          <w:tcPr>
            <w:tcW w:w="1042" w:type="dxa"/>
            <w:vMerge w:val="continue"/>
            <w:tcBorders>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在河道堤防背水面保护区</w:t>
            </w:r>
            <w:r>
              <w:rPr>
                <w:rFonts w:ascii="Times New Roman" w:hAnsi="Times New Roman" w:eastAsia="仿宋_GB2312"/>
                <w:szCs w:val="21"/>
              </w:rPr>
              <w:t>500</w:t>
            </w:r>
            <w:r>
              <w:rPr>
                <w:rFonts w:ascii="Times New Roman" w:eastAsia="仿宋_GB2312"/>
                <w:szCs w:val="21"/>
              </w:rPr>
              <w:t>米内进行地下采矿以及在山区河道两侧采石、修路等活动许可</w:t>
            </w:r>
          </w:p>
        </w:tc>
        <w:tc>
          <w:tcPr>
            <w:tcW w:w="696" w:type="dxa"/>
            <w:vMerge w:val="continue"/>
            <w:tcBorders>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825"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134"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740"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p>
        </w:tc>
        <w:tc>
          <w:tcPr>
            <w:tcW w:w="592" w:type="dxa"/>
            <w:vMerge w:val="continue"/>
            <w:tcBorders>
              <w:left w:val="nil"/>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170"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10</w:t>
            </w:r>
          </w:p>
        </w:tc>
        <w:tc>
          <w:tcPr>
            <w:tcW w:w="1042" w:type="dxa"/>
            <w:vMerge w:val="continue"/>
            <w:tcBorders>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影响河道安全以及水文监测作业、防汛、通信、通航安全的作业活动保护措施审查</w:t>
            </w:r>
          </w:p>
        </w:tc>
        <w:tc>
          <w:tcPr>
            <w:tcW w:w="696" w:type="dxa"/>
            <w:vMerge w:val="continue"/>
            <w:tcBorders>
              <w:left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825"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134"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740" w:type="dxa"/>
            <w:vMerge w:val="continue"/>
            <w:tcBorders>
              <w:left w:val="nil"/>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p>
        </w:tc>
        <w:tc>
          <w:tcPr>
            <w:tcW w:w="592" w:type="dxa"/>
            <w:vMerge w:val="continue"/>
            <w:tcBorders>
              <w:left w:val="nil"/>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1689"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11</w:t>
            </w:r>
          </w:p>
        </w:tc>
        <w:tc>
          <w:tcPr>
            <w:tcW w:w="1042" w:type="dxa"/>
            <w:vMerge w:val="continue"/>
            <w:tcBorders>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在跨行政区域的边界河道修建水工程以及河道整治工程的许可</w:t>
            </w:r>
          </w:p>
        </w:tc>
        <w:tc>
          <w:tcPr>
            <w:tcW w:w="696" w:type="dxa"/>
            <w:vMerge w:val="continue"/>
            <w:tcBorders>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p>
        </w:tc>
        <w:tc>
          <w:tcPr>
            <w:tcW w:w="1825" w:type="dxa"/>
            <w:vMerge w:val="continue"/>
            <w:tcBorders>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134" w:type="dxa"/>
            <w:vMerge w:val="continue"/>
            <w:tcBorders>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p>
        </w:tc>
        <w:tc>
          <w:tcPr>
            <w:tcW w:w="1740" w:type="dxa"/>
            <w:vMerge w:val="continue"/>
            <w:tcBorders>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p>
        </w:tc>
        <w:tc>
          <w:tcPr>
            <w:tcW w:w="592" w:type="dxa"/>
            <w:vMerge w:val="continue"/>
            <w:tcBorders>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922" w:hRule="atLeast"/>
          <w:jc w:val="center"/>
        </w:trPr>
        <w:tc>
          <w:tcPr>
            <w:tcW w:w="472" w:type="dxa"/>
            <w:tcBorders>
              <w:top w:val="single" w:color="auto" w:sz="4" w:space="0"/>
              <w:left w:val="single" w:color="000000" w:sz="8" w:space="0"/>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12</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安全鉴定书和新运行方案</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大中型水库险坝改变原设计运行方式审批</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市行政审批局</w:t>
            </w:r>
          </w:p>
        </w:tc>
        <w:tc>
          <w:tcPr>
            <w:tcW w:w="182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《水库大坝安全管理条例》（国务院令第</w:t>
            </w:r>
            <w:r>
              <w:rPr>
                <w:rFonts w:ascii="Times New Roman" w:hAnsi="Times New Roman" w:eastAsia="仿宋_GB2312"/>
                <w:szCs w:val="21"/>
              </w:rPr>
              <w:t>77</w:t>
            </w:r>
            <w:r>
              <w:rPr>
                <w:rFonts w:ascii="Times New Roman" w:eastAsia="仿宋_GB2312"/>
                <w:szCs w:val="21"/>
              </w:rPr>
              <w:t>号）第二十七条、《水库降等与报废管理办法（试行）》（水利部令第</w:t>
            </w:r>
            <w:r>
              <w:rPr>
                <w:rFonts w:ascii="Times New Roman" w:hAnsi="Times New Roman" w:eastAsia="仿宋_GB2312"/>
                <w:szCs w:val="21"/>
              </w:rPr>
              <w:t>18</w:t>
            </w:r>
            <w:r>
              <w:rPr>
                <w:rFonts w:ascii="Times New Roman" w:eastAsia="仿宋_GB2312"/>
                <w:szCs w:val="21"/>
              </w:rPr>
              <w:t>号）第十一条</w:t>
            </w:r>
          </w:p>
        </w:tc>
        <w:tc>
          <w:tcPr>
            <w:tcW w:w="1134"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具有水利水电相应设计或咨询资质的机构</w:t>
            </w:r>
          </w:p>
        </w:tc>
        <w:tc>
          <w:tcPr>
            <w:tcW w:w="1740"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申请人可按要求自行编制安全鉴定书和新运行方案，也可委托有关机构编制，审批部门不得以任何形式要求申请人必须委托特定中介机构提供服务。</w:t>
            </w:r>
          </w:p>
        </w:tc>
        <w:tc>
          <w:tcPr>
            <w:tcW w:w="592" w:type="dxa"/>
            <w:tcBorders>
              <w:top w:val="single" w:color="auto" w:sz="4" w:space="0"/>
              <w:left w:val="nil"/>
              <w:bottom w:val="single" w:color="auto" w:sz="4"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r>
        <w:tblPrEx>
          <w:tblLayout w:type="fixed"/>
          <w:tblCellMar>
            <w:top w:w="0" w:type="dxa"/>
            <w:left w:w="0" w:type="dxa"/>
            <w:bottom w:w="0" w:type="dxa"/>
            <w:right w:w="0" w:type="dxa"/>
          </w:tblCellMar>
        </w:tblPrEx>
        <w:trPr>
          <w:trHeight w:val="2021" w:hRule="atLeast"/>
          <w:jc w:val="center"/>
        </w:trPr>
        <w:tc>
          <w:tcPr>
            <w:tcW w:w="472" w:type="dxa"/>
            <w:tcBorders>
              <w:top w:val="single" w:color="auto" w:sz="4"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center"/>
              <w:rPr>
                <w:rFonts w:ascii="Times New Roman" w:hAnsi="Times New Roman" w:eastAsia="仿宋_GB2312"/>
                <w:kern w:val="0"/>
                <w:szCs w:val="21"/>
              </w:rPr>
            </w:pPr>
            <w:r>
              <w:rPr>
                <w:rFonts w:ascii="Times New Roman" w:hAnsi="Times New Roman" w:eastAsia="仿宋_GB2312"/>
                <w:kern w:val="0"/>
                <w:szCs w:val="21"/>
              </w:rPr>
              <w:t>13</w:t>
            </w:r>
          </w:p>
        </w:tc>
        <w:tc>
          <w:tcPr>
            <w:tcW w:w="10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食品检验报告</w:t>
            </w:r>
          </w:p>
        </w:tc>
        <w:tc>
          <w:tcPr>
            <w:tcW w:w="1594"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食品许可证核发（大米、小麦粉、可可制品、焙炒咖啡）</w:t>
            </w:r>
          </w:p>
        </w:tc>
        <w:tc>
          <w:tcPr>
            <w:tcW w:w="69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spacing w:line="260" w:lineRule="exact"/>
              <w:jc w:val="center"/>
              <w:rPr>
                <w:rFonts w:ascii="Times New Roman" w:hAnsi="Times New Roman" w:eastAsia="仿宋_GB2312"/>
                <w:szCs w:val="21"/>
              </w:rPr>
            </w:pPr>
            <w:r>
              <w:rPr>
                <w:rFonts w:ascii="Times New Roman" w:eastAsia="仿宋_GB2312"/>
                <w:szCs w:val="21"/>
              </w:rPr>
              <w:t>市市监局</w:t>
            </w:r>
          </w:p>
        </w:tc>
        <w:tc>
          <w:tcPr>
            <w:tcW w:w="182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《食品生产许可管理办法》（国家食品药品监督管理总局令第</w:t>
            </w:r>
            <w:r>
              <w:rPr>
                <w:rFonts w:ascii="Times New Roman" w:hAnsi="Times New Roman" w:eastAsia="仿宋_GB2312"/>
                <w:szCs w:val="21"/>
              </w:rPr>
              <w:t>16</w:t>
            </w:r>
            <w:r>
              <w:rPr>
                <w:rFonts w:ascii="Times New Roman" w:eastAsia="仿宋_GB2312"/>
                <w:szCs w:val="21"/>
              </w:rPr>
              <w:t>号）第三章第二十条第二款</w:t>
            </w:r>
          </w:p>
        </w:tc>
        <w:tc>
          <w:tcPr>
            <w:tcW w:w="1134"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rPr>
                <w:rFonts w:ascii="Times New Roman" w:hAnsi="Times New Roman" w:eastAsia="仿宋_GB2312"/>
                <w:szCs w:val="21"/>
              </w:rPr>
            </w:pPr>
            <w:r>
              <w:rPr>
                <w:rFonts w:ascii="Times New Roman" w:eastAsia="仿宋_GB2312"/>
                <w:szCs w:val="21"/>
              </w:rPr>
              <w:t>具有相应资质的食品检验机构</w:t>
            </w:r>
          </w:p>
        </w:tc>
        <w:tc>
          <w:tcPr>
            <w:tcW w:w="1740"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pPr>
              <w:widowControl/>
              <w:spacing w:line="260" w:lineRule="exact"/>
              <w:jc w:val="left"/>
              <w:rPr>
                <w:rFonts w:ascii="Times New Roman" w:hAnsi="Times New Roman" w:eastAsia="仿宋_GB2312"/>
                <w:szCs w:val="21"/>
              </w:rPr>
            </w:pPr>
            <w:r>
              <w:rPr>
                <w:rFonts w:ascii="Times New Roman" w:eastAsia="仿宋_GB2312"/>
                <w:szCs w:val="21"/>
              </w:rPr>
              <w:t>食品检验报告可由有检验能力的生产企业自行提供，或由市场监管部门出具抽检报告。</w:t>
            </w:r>
          </w:p>
        </w:tc>
        <w:tc>
          <w:tcPr>
            <w:tcW w:w="592" w:type="dxa"/>
            <w:tcBorders>
              <w:top w:val="single" w:color="auto" w:sz="4" w:space="0"/>
              <w:left w:val="nil"/>
              <w:bottom w:val="single" w:color="000000" w:sz="8" w:space="0"/>
              <w:right w:val="single" w:color="000000" w:sz="8" w:space="0"/>
            </w:tcBorders>
            <w:noWrap w:val="0"/>
            <w:vAlign w:val="center"/>
          </w:tcPr>
          <w:p>
            <w:pPr>
              <w:widowControl/>
              <w:spacing w:line="260" w:lineRule="exact"/>
              <w:jc w:val="center"/>
              <w:rPr>
                <w:rFonts w:ascii="Times New Roman" w:hAnsi="Times New Roman" w:eastAsia="仿宋_GB2312"/>
                <w:kern w:val="0"/>
                <w:szCs w:val="21"/>
              </w:rPr>
            </w:pPr>
          </w:p>
        </w:tc>
      </w:tr>
    </w:tbl>
    <w:p/>
    <w:sectPr>
      <w:pgSz w:w="11906" w:h="16838"/>
      <w:pgMar w:top="170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54D54"/>
    <w:rsid w:val="25464076"/>
    <w:rsid w:val="30454D54"/>
    <w:rsid w:val="36F23BBA"/>
    <w:rsid w:val="3A384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2019-01-03T07:25:00Z</dcterms:created>
  <dc:creator>️</dc:creator>
  <cp:lastModifiedBy>️</cp:lastModifiedBy>
  <dcterms:modified xsi:type="dcterms:W3CDTF">2019-01-03T07:28:09Z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